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6DE737">
      <w:pPr>
        <w:spacing w:before="312" w:beforeLines="100" w:after="312" w:afterLines="100" w:line="800" w:lineRule="exact"/>
        <w:rPr>
          <w:rFonts w:ascii="华文中宋" w:hAnsi="华文中宋" w:eastAsia="华文中宋" w:cs="华文中宋"/>
          <w:b/>
          <w:sz w:val="52"/>
          <w:szCs w:val="52"/>
        </w:rPr>
      </w:pPr>
      <w:bookmarkStart w:id="0" w:name="_GoBack"/>
      <w:bookmarkEnd w:id="0"/>
      <w:r>
        <w:rPr>
          <w:rFonts w:hint="eastAsia" w:ascii="华文中宋" w:hAnsi="华文中宋" w:eastAsia="华文中宋" w:cs="华文中宋"/>
          <w:b/>
          <w:sz w:val="52"/>
          <w:szCs w:val="52"/>
        </w:rPr>
        <w:t>桐城盛运重工金工1#、2#厂房屋顶渗漏维修区综合执法局楼顶坡面彩钢瓦翻新工程</w:t>
      </w:r>
    </w:p>
    <w:p w14:paraId="56DA267F">
      <w:pPr>
        <w:spacing w:before="312" w:beforeLines="100" w:after="312" w:afterLines="100" w:line="800" w:lineRule="exact"/>
        <w:jc w:val="center"/>
        <w:rPr>
          <w:rFonts w:ascii="华文中宋" w:hAnsi="华文中宋" w:eastAsia="华文中宋" w:cs="华文中宋"/>
          <w:color w:val="000000"/>
          <w:sz w:val="30"/>
          <w:szCs w:val="30"/>
        </w:rPr>
      </w:pPr>
      <w:r>
        <w:rPr>
          <w:rFonts w:hint="eastAsia" w:ascii="华文中宋" w:hAnsi="华文中宋" w:eastAsia="华文中宋" w:cs="华文中宋"/>
          <w:color w:val="000000"/>
          <w:sz w:val="30"/>
          <w:szCs w:val="30"/>
        </w:rPr>
        <w:t>（工程招标编号：JKQJT-2024062）</w:t>
      </w:r>
    </w:p>
    <w:p w14:paraId="581FF7EF">
      <w:pPr>
        <w:spacing w:before="312" w:beforeLines="100" w:after="312" w:afterLines="100" w:line="1060" w:lineRule="exact"/>
        <w:jc w:val="center"/>
        <w:rPr>
          <w:rFonts w:ascii="华文中宋" w:hAnsi="华文中宋" w:eastAsia="华文中宋" w:cs="华文中宋"/>
          <w:b/>
          <w:sz w:val="84"/>
          <w:szCs w:val="84"/>
        </w:rPr>
      </w:pPr>
      <w:r>
        <w:rPr>
          <w:rFonts w:hint="eastAsia" w:ascii="华文中宋" w:hAnsi="华文中宋" w:eastAsia="华文中宋" w:cs="华文中宋"/>
          <w:b/>
          <w:sz w:val="84"/>
          <w:szCs w:val="84"/>
        </w:rPr>
        <w:t>招</w:t>
      </w:r>
    </w:p>
    <w:p w14:paraId="2CDF9C45">
      <w:pPr>
        <w:spacing w:before="312" w:beforeLines="100" w:after="312" w:afterLines="100" w:line="1060" w:lineRule="exact"/>
        <w:jc w:val="center"/>
        <w:rPr>
          <w:rFonts w:ascii="华文中宋" w:hAnsi="华文中宋" w:eastAsia="华文中宋" w:cs="华文中宋"/>
          <w:b/>
          <w:sz w:val="84"/>
          <w:szCs w:val="84"/>
        </w:rPr>
      </w:pPr>
      <w:r>
        <w:rPr>
          <w:rFonts w:hint="eastAsia" w:ascii="华文中宋" w:hAnsi="华文中宋" w:eastAsia="华文中宋" w:cs="华文中宋"/>
          <w:b/>
          <w:sz w:val="84"/>
          <w:szCs w:val="84"/>
        </w:rPr>
        <w:t>标</w:t>
      </w:r>
    </w:p>
    <w:p w14:paraId="321D3DF5">
      <w:pPr>
        <w:spacing w:before="312" w:beforeLines="100" w:after="312" w:afterLines="100" w:line="1060" w:lineRule="exact"/>
        <w:jc w:val="center"/>
        <w:rPr>
          <w:rFonts w:ascii="华文中宋" w:hAnsi="华文中宋" w:eastAsia="华文中宋" w:cs="华文中宋"/>
          <w:b/>
          <w:sz w:val="84"/>
          <w:szCs w:val="84"/>
        </w:rPr>
      </w:pPr>
      <w:r>
        <w:rPr>
          <w:rFonts w:hint="eastAsia" w:ascii="华文中宋" w:hAnsi="华文中宋" w:eastAsia="华文中宋" w:cs="华文中宋"/>
          <w:b/>
          <w:sz w:val="84"/>
          <w:szCs w:val="84"/>
        </w:rPr>
        <w:t>文</w:t>
      </w:r>
    </w:p>
    <w:p w14:paraId="17D75F8A">
      <w:pPr>
        <w:spacing w:before="312" w:beforeLines="100" w:after="312" w:afterLines="100" w:line="1060" w:lineRule="exact"/>
        <w:jc w:val="center"/>
        <w:rPr>
          <w:rFonts w:ascii="华文中宋" w:hAnsi="华文中宋" w:eastAsia="华文中宋" w:cs="华文中宋"/>
          <w:b/>
          <w:sz w:val="84"/>
          <w:szCs w:val="84"/>
        </w:rPr>
      </w:pPr>
      <w:r>
        <w:rPr>
          <w:rFonts w:hint="eastAsia" w:ascii="华文中宋" w:hAnsi="华文中宋" w:eastAsia="华文中宋" w:cs="华文中宋"/>
          <w:b/>
          <w:sz w:val="84"/>
          <w:szCs w:val="84"/>
        </w:rPr>
        <w:t>件</w:t>
      </w:r>
    </w:p>
    <w:p w14:paraId="37419373">
      <w:pPr>
        <w:spacing w:before="312" w:beforeLines="100" w:after="312" w:afterLines="100" w:line="1060" w:lineRule="exact"/>
        <w:jc w:val="center"/>
        <w:rPr>
          <w:rFonts w:ascii="华文中宋" w:hAnsi="华文中宋" w:eastAsia="华文中宋" w:cs="华文中宋"/>
          <w:b/>
          <w:sz w:val="84"/>
          <w:szCs w:val="84"/>
        </w:rPr>
      </w:pPr>
    </w:p>
    <w:tbl>
      <w:tblPr>
        <w:tblStyle w:val="8"/>
        <w:tblW w:w="82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36"/>
        <w:gridCol w:w="5959"/>
      </w:tblGrid>
      <w:tr w14:paraId="410B8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77" w:hRule="atLeast"/>
          <w:jc w:val="center"/>
        </w:trPr>
        <w:tc>
          <w:tcPr>
            <w:tcW w:w="2337" w:type="dxa"/>
            <w:tcBorders>
              <w:top w:val="single" w:color="auto" w:sz="4" w:space="0"/>
              <w:left w:val="single" w:color="auto" w:sz="4" w:space="0"/>
              <w:bottom w:val="single" w:color="auto" w:sz="4" w:space="0"/>
              <w:right w:val="single" w:color="auto" w:sz="4" w:space="0"/>
            </w:tcBorders>
            <w:noWrap/>
            <w:vAlign w:val="center"/>
          </w:tcPr>
          <w:p w14:paraId="5D395FFB">
            <w:pPr>
              <w:spacing w:before="156" w:beforeLines="50" w:after="156" w:afterLines="50" w:line="500" w:lineRule="exact"/>
              <w:jc w:val="distribute"/>
              <w:rPr>
                <w:rFonts w:ascii="宋体" w:hAnsi="宋体" w:eastAsia="宋体" w:cs="Times New Roman"/>
                <w:bCs/>
                <w:kern w:val="0"/>
                <w:sz w:val="32"/>
                <w:szCs w:val="32"/>
              </w:rPr>
            </w:pPr>
            <w:r>
              <w:rPr>
                <w:rFonts w:hint="eastAsia" w:ascii="宋体" w:hAnsi="宋体" w:eastAsia="宋体" w:cs="Times New Roman"/>
                <w:bCs/>
                <w:kern w:val="0"/>
                <w:sz w:val="32"/>
                <w:szCs w:val="32"/>
              </w:rPr>
              <w:t>招标单位</w:t>
            </w:r>
          </w:p>
        </w:tc>
        <w:tc>
          <w:tcPr>
            <w:tcW w:w="5962" w:type="dxa"/>
            <w:tcBorders>
              <w:top w:val="single" w:color="auto" w:sz="4" w:space="0"/>
              <w:left w:val="single" w:color="auto" w:sz="4" w:space="0"/>
              <w:bottom w:val="single" w:color="auto" w:sz="4" w:space="0"/>
              <w:right w:val="single" w:color="auto" w:sz="4" w:space="0"/>
            </w:tcBorders>
            <w:noWrap/>
            <w:vAlign w:val="center"/>
          </w:tcPr>
          <w:p w14:paraId="11B67D98">
            <w:pPr>
              <w:spacing w:before="156" w:beforeLines="50" w:after="156" w:afterLines="50" w:line="500" w:lineRule="exact"/>
              <w:jc w:val="center"/>
              <w:rPr>
                <w:rFonts w:ascii="宋体" w:hAnsi="宋体" w:eastAsia="宋体" w:cs="Times New Roman"/>
                <w:bCs/>
                <w:kern w:val="0"/>
                <w:sz w:val="32"/>
                <w:szCs w:val="32"/>
              </w:rPr>
            </w:pPr>
            <w:r>
              <w:rPr>
                <w:rFonts w:hint="eastAsia" w:ascii="宋体" w:hAnsi="宋体" w:eastAsia="宋体" w:cs="Times New Roman"/>
                <w:bCs/>
                <w:kern w:val="0"/>
                <w:sz w:val="32"/>
                <w:szCs w:val="32"/>
              </w:rPr>
              <w:t>桐城经市天正控股集团有限公司</w:t>
            </w:r>
          </w:p>
        </w:tc>
      </w:tr>
      <w:tr w14:paraId="5C81D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2337" w:type="dxa"/>
            <w:tcBorders>
              <w:top w:val="single" w:color="auto" w:sz="4" w:space="0"/>
              <w:left w:val="single" w:color="auto" w:sz="4" w:space="0"/>
              <w:bottom w:val="single" w:color="auto" w:sz="4" w:space="0"/>
              <w:right w:val="single" w:color="auto" w:sz="4" w:space="0"/>
            </w:tcBorders>
            <w:noWrap/>
            <w:vAlign w:val="center"/>
          </w:tcPr>
          <w:p w14:paraId="7817412C">
            <w:pPr>
              <w:spacing w:before="156" w:beforeLines="50" w:after="156" w:afterLines="50" w:line="500" w:lineRule="exact"/>
              <w:jc w:val="distribute"/>
              <w:rPr>
                <w:rFonts w:ascii="宋体" w:hAnsi="宋体" w:eastAsia="宋体" w:cs="Times New Roman"/>
                <w:bCs/>
                <w:kern w:val="0"/>
                <w:sz w:val="32"/>
                <w:szCs w:val="32"/>
              </w:rPr>
            </w:pPr>
            <w:r>
              <w:rPr>
                <w:rFonts w:hint="eastAsia" w:ascii="宋体" w:hAnsi="宋体" w:eastAsia="宋体" w:cs="Times New Roman"/>
                <w:bCs/>
                <w:kern w:val="0"/>
                <w:sz w:val="32"/>
                <w:szCs w:val="32"/>
              </w:rPr>
              <w:t>招标组织部门</w:t>
            </w:r>
          </w:p>
        </w:tc>
        <w:tc>
          <w:tcPr>
            <w:tcW w:w="5962" w:type="dxa"/>
            <w:tcBorders>
              <w:top w:val="single" w:color="auto" w:sz="4" w:space="0"/>
              <w:left w:val="single" w:color="auto" w:sz="4" w:space="0"/>
              <w:bottom w:val="single" w:color="auto" w:sz="4" w:space="0"/>
              <w:right w:val="single" w:color="auto" w:sz="4" w:space="0"/>
            </w:tcBorders>
            <w:noWrap/>
            <w:vAlign w:val="center"/>
          </w:tcPr>
          <w:p w14:paraId="22FC1284">
            <w:pPr>
              <w:spacing w:before="156" w:beforeLines="50" w:after="156" w:afterLines="50" w:line="500" w:lineRule="exact"/>
              <w:jc w:val="center"/>
              <w:rPr>
                <w:rFonts w:ascii="宋体" w:hAnsi="宋体" w:eastAsia="宋体" w:cs="Times New Roman"/>
                <w:bCs/>
                <w:kern w:val="0"/>
                <w:sz w:val="32"/>
                <w:szCs w:val="32"/>
              </w:rPr>
            </w:pPr>
            <w:r>
              <w:rPr>
                <w:rFonts w:hint="eastAsia" w:ascii="宋体" w:hAnsi="宋体" w:eastAsia="宋体" w:cs="Times New Roman"/>
                <w:bCs/>
                <w:kern w:val="0"/>
                <w:sz w:val="32"/>
                <w:szCs w:val="32"/>
              </w:rPr>
              <w:t>桐城经开区建设投资集团招投标办公室</w:t>
            </w:r>
          </w:p>
        </w:tc>
      </w:tr>
      <w:tr w14:paraId="3F472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2337" w:type="dxa"/>
            <w:tcBorders>
              <w:top w:val="single" w:color="auto" w:sz="4" w:space="0"/>
              <w:left w:val="single" w:color="auto" w:sz="4" w:space="0"/>
              <w:bottom w:val="single" w:color="auto" w:sz="4" w:space="0"/>
              <w:right w:val="single" w:color="auto" w:sz="4" w:space="0"/>
            </w:tcBorders>
            <w:noWrap/>
            <w:vAlign w:val="center"/>
          </w:tcPr>
          <w:p w14:paraId="6AEAFC57">
            <w:pPr>
              <w:spacing w:before="156" w:beforeLines="50" w:after="156" w:afterLines="50" w:line="500" w:lineRule="exact"/>
              <w:jc w:val="distribute"/>
              <w:rPr>
                <w:rFonts w:ascii="宋体" w:hAnsi="宋体" w:eastAsia="宋体" w:cs="Times New Roman"/>
                <w:bCs/>
                <w:kern w:val="0"/>
                <w:sz w:val="32"/>
                <w:szCs w:val="32"/>
              </w:rPr>
            </w:pPr>
            <w:r>
              <w:rPr>
                <w:rFonts w:hint="eastAsia" w:ascii="宋体" w:hAnsi="宋体" w:eastAsia="宋体" w:cs="Times New Roman"/>
                <w:bCs/>
                <w:kern w:val="0"/>
                <w:sz w:val="32"/>
                <w:szCs w:val="32"/>
              </w:rPr>
              <w:t>日    期</w:t>
            </w:r>
          </w:p>
        </w:tc>
        <w:tc>
          <w:tcPr>
            <w:tcW w:w="5962" w:type="dxa"/>
            <w:tcBorders>
              <w:top w:val="single" w:color="auto" w:sz="4" w:space="0"/>
              <w:left w:val="single" w:color="auto" w:sz="4" w:space="0"/>
              <w:bottom w:val="single" w:color="auto" w:sz="4" w:space="0"/>
              <w:right w:val="single" w:color="auto" w:sz="4" w:space="0"/>
            </w:tcBorders>
            <w:noWrap/>
            <w:vAlign w:val="center"/>
          </w:tcPr>
          <w:p w14:paraId="0369C098">
            <w:pPr>
              <w:spacing w:before="156" w:beforeLines="50" w:after="156" w:afterLines="50" w:line="500" w:lineRule="exact"/>
              <w:jc w:val="center"/>
              <w:rPr>
                <w:rFonts w:ascii="宋体" w:hAnsi="宋体" w:eastAsia="宋体" w:cs="Times New Roman"/>
                <w:bCs/>
                <w:kern w:val="0"/>
                <w:sz w:val="32"/>
                <w:szCs w:val="32"/>
              </w:rPr>
            </w:pPr>
            <w:r>
              <w:rPr>
                <w:rFonts w:hint="eastAsia" w:ascii="宋体" w:hAnsi="宋体" w:eastAsia="宋体" w:cs="Times New Roman"/>
                <w:bCs/>
                <w:kern w:val="0"/>
                <w:sz w:val="32"/>
                <w:szCs w:val="32"/>
              </w:rPr>
              <w:t>2024年9月30日</w:t>
            </w:r>
          </w:p>
        </w:tc>
      </w:tr>
    </w:tbl>
    <w:p w14:paraId="4F72D71C">
      <w:pPr>
        <w:spacing w:line="580" w:lineRule="exact"/>
        <w:rPr>
          <w:rFonts w:ascii="华文中宋" w:hAnsi="华文中宋" w:eastAsia="华文中宋" w:cs="华文中宋"/>
          <w:b/>
          <w:color w:val="000000"/>
          <w:sz w:val="44"/>
          <w:szCs w:val="44"/>
        </w:rPr>
      </w:pPr>
    </w:p>
    <w:p w14:paraId="172D0D86">
      <w:pPr>
        <w:spacing w:line="580" w:lineRule="exact"/>
        <w:rPr>
          <w:rFonts w:ascii="华文中宋" w:hAnsi="华文中宋" w:eastAsia="华文中宋" w:cs="华文中宋"/>
          <w:b/>
          <w:color w:val="000000"/>
          <w:sz w:val="36"/>
          <w:szCs w:val="36"/>
        </w:rPr>
      </w:pPr>
      <w:r>
        <w:rPr>
          <w:rFonts w:hint="eastAsia" w:ascii="华文中宋" w:hAnsi="华文中宋" w:eastAsia="华文中宋" w:cs="华文中宋"/>
          <w:b/>
          <w:color w:val="000000"/>
          <w:sz w:val="36"/>
          <w:szCs w:val="36"/>
        </w:rPr>
        <w:t>一、招标须知前附表</w:t>
      </w:r>
    </w:p>
    <w:tbl>
      <w:tblPr>
        <w:tblStyle w:val="7"/>
        <w:tblW w:w="90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81"/>
        <w:gridCol w:w="2056"/>
        <w:gridCol w:w="5963"/>
      </w:tblGrid>
      <w:tr w14:paraId="6F0E20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7" w:hRule="atLeast"/>
          <w:jc w:val="center"/>
        </w:trPr>
        <w:tc>
          <w:tcPr>
            <w:tcW w:w="981" w:type="dxa"/>
            <w:tcBorders>
              <w:top w:val="single" w:color="000000" w:sz="4" w:space="0"/>
              <w:left w:val="single" w:color="000000" w:sz="4" w:space="0"/>
              <w:bottom w:val="single" w:color="000000" w:sz="4" w:space="0"/>
              <w:right w:val="single" w:color="000000" w:sz="4" w:space="0"/>
            </w:tcBorders>
            <w:noWrap/>
            <w:vAlign w:val="center"/>
          </w:tcPr>
          <w:p w14:paraId="7BB6BB36">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序号</w:t>
            </w:r>
          </w:p>
        </w:tc>
        <w:tc>
          <w:tcPr>
            <w:tcW w:w="2055" w:type="dxa"/>
            <w:tcBorders>
              <w:top w:val="single" w:color="000000" w:sz="4" w:space="0"/>
              <w:left w:val="single" w:color="000000" w:sz="4" w:space="0"/>
              <w:bottom w:val="single" w:color="000000" w:sz="4" w:space="0"/>
              <w:right w:val="single" w:color="000000" w:sz="4" w:space="0"/>
            </w:tcBorders>
            <w:noWrap/>
            <w:vAlign w:val="center"/>
          </w:tcPr>
          <w:p w14:paraId="217351CE">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内容</w:t>
            </w:r>
          </w:p>
        </w:tc>
        <w:tc>
          <w:tcPr>
            <w:tcW w:w="5960" w:type="dxa"/>
            <w:tcBorders>
              <w:top w:val="single" w:color="000000" w:sz="4" w:space="0"/>
              <w:left w:val="single" w:color="000000" w:sz="4" w:space="0"/>
              <w:bottom w:val="single" w:color="000000" w:sz="4" w:space="0"/>
              <w:right w:val="single" w:color="000000" w:sz="4" w:space="0"/>
            </w:tcBorders>
            <w:noWrap/>
            <w:vAlign w:val="center"/>
          </w:tcPr>
          <w:p w14:paraId="67B5F593">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说明与要求</w:t>
            </w:r>
          </w:p>
        </w:tc>
      </w:tr>
      <w:tr w14:paraId="26F951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7" w:hRule="atLeast"/>
          <w:jc w:val="center"/>
        </w:trPr>
        <w:tc>
          <w:tcPr>
            <w:tcW w:w="981" w:type="dxa"/>
            <w:tcBorders>
              <w:top w:val="single" w:color="000000" w:sz="4" w:space="0"/>
              <w:left w:val="single" w:color="000000" w:sz="4" w:space="0"/>
              <w:bottom w:val="single" w:color="000000" w:sz="4" w:space="0"/>
              <w:right w:val="single" w:color="000000" w:sz="4" w:space="0"/>
            </w:tcBorders>
            <w:noWrap/>
            <w:vAlign w:val="center"/>
          </w:tcPr>
          <w:p w14:paraId="72121143">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1</w:t>
            </w:r>
          </w:p>
        </w:tc>
        <w:tc>
          <w:tcPr>
            <w:tcW w:w="2055" w:type="dxa"/>
            <w:tcBorders>
              <w:top w:val="single" w:color="000000" w:sz="4" w:space="0"/>
              <w:left w:val="single" w:color="000000" w:sz="4" w:space="0"/>
              <w:bottom w:val="single" w:color="000000" w:sz="4" w:space="0"/>
              <w:right w:val="single" w:color="000000" w:sz="4" w:space="0"/>
            </w:tcBorders>
            <w:noWrap/>
            <w:vAlign w:val="center"/>
          </w:tcPr>
          <w:p w14:paraId="0F8592BA">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工程名称</w:t>
            </w:r>
          </w:p>
        </w:tc>
        <w:tc>
          <w:tcPr>
            <w:tcW w:w="5960" w:type="dxa"/>
            <w:tcBorders>
              <w:top w:val="single" w:color="000000" w:sz="4" w:space="0"/>
              <w:left w:val="single" w:color="000000" w:sz="4" w:space="0"/>
              <w:bottom w:val="single" w:color="000000" w:sz="4" w:space="0"/>
              <w:right w:val="single" w:color="000000" w:sz="4" w:space="0"/>
            </w:tcBorders>
            <w:noWrap/>
            <w:vAlign w:val="center"/>
          </w:tcPr>
          <w:p w14:paraId="13F621D4">
            <w:pPr>
              <w:spacing w:line="500" w:lineRule="exact"/>
              <w:jc w:val="left"/>
              <w:rPr>
                <w:rFonts w:ascii="宋体" w:hAnsi="宋体" w:eastAsia="宋体" w:cs="宋体"/>
                <w:color w:val="000000"/>
                <w:sz w:val="28"/>
                <w:szCs w:val="28"/>
              </w:rPr>
            </w:pPr>
            <w:r>
              <w:rPr>
                <w:rFonts w:hint="eastAsia" w:ascii="宋体" w:hAnsi="宋体" w:eastAsia="宋体" w:cs="宋体"/>
                <w:color w:val="000000"/>
                <w:sz w:val="28"/>
                <w:szCs w:val="28"/>
              </w:rPr>
              <w:t>桐城盛运重工金工1#、2#车间改造</w:t>
            </w:r>
            <w:r>
              <w:rPr>
                <w:rFonts w:hint="eastAsia" w:ascii="宋体" w:hAnsi="宋体" w:eastAsia="宋体" w:cs="宋体"/>
                <w:sz w:val="28"/>
                <w:szCs w:val="28"/>
              </w:rPr>
              <w:t>及区综合执法局楼顶坡面彩钢瓦翻新</w:t>
            </w:r>
            <w:r>
              <w:rPr>
                <w:rFonts w:hint="eastAsia" w:ascii="宋体" w:hAnsi="宋体" w:eastAsia="宋体" w:cs="宋体"/>
                <w:color w:val="000000"/>
                <w:sz w:val="28"/>
                <w:szCs w:val="28"/>
              </w:rPr>
              <w:t>工程</w:t>
            </w:r>
          </w:p>
        </w:tc>
      </w:tr>
      <w:tr w14:paraId="195D56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7" w:hRule="atLeast"/>
          <w:jc w:val="center"/>
        </w:trPr>
        <w:tc>
          <w:tcPr>
            <w:tcW w:w="981" w:type="dxa"/>
            <w:tcBorders>
              <w:top w:val="single" w:color="000000" w:sz="4" w:space="0"/>
              <w:left w:val="single" w:color="000000" w:sz="4" w:space="0"/>
              <w:bottom w:val="single" w:color="000000" w:sz="4" w:space="0"/>
              <w:right w:val="single" w:color="000000" w:sz="4" w:space="0"/>
            </w:tcBorders>
            <w:noWrap/>
            <w:vAlign w:val="center"/>
          </w:tcPr>
          <w:p w14:paraId="5024BC36">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2</w:t>
            </w:r>
          </w:p>
        </w:tc>
        <w:tc>
          <w:tcPr>
            <w:tcW w:w="2055" w:type="dxa"/>
            <w:tcBorders>
              <w:top w:val="single" w:color="000000" w:sz="4" w:space="0"/>
              <w:left w:val="single" w:color="000000" w:sz="4" w:space="0"/>
              <w:bottom w:val="single" w:color="000000" w:sz="4" w:space="0"/>
              <w:right w:val="single" w:color="000000" w:sz="4" w:space="0"/>
            </w:tcBorders>
            <w:noWrap/>
            <w:vAlign w:val="center"/>
          </w:tcPr>
          <w:p w14:paraId="6CF46169">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工程地点</w:t>
            </w:r>
          </w:p>
        </w:tc>
        <w:tc>
          <w:tcPr>
            <w:tcW w:w="5960" w:type="dxa"/>
            <w:tcBorders>
              <w:top w:val="single" w:color="000000" w:sz="4" w:space="0"/>
              <w:left w:val="single" w:color="000000" w:sz="4" w:space="0"/>
              <w:bottom w:val="single" w:color="000000" w:sz="4" w:space="0"/>
              <w:right w:val="single" w:color="000000" w:sz="4" w:space="0"/>
            </w:tcBorders>
            <w:noWrap/>
            <w:vAlign w:val="center"/>
          </w:tcPr>
          <w:p w14:paraId="53760263">
            <w:pPr>
              <w:spacing w:line="500" w:lineRule="exact"/>
              <w:jc w:val="left"/>
              <w:rPr>
                <w:rFonts w:ascii="宋体" w:hAnsi="宋体" w:eastAsia="宋体" w:cs="宋体"/>
                <w:color w:val="000000"/>
                <w:sz w:val="28"/>
                <w:szCs w:val="28"/>
              </w:rPr>
            </w:pPr>
            <w:r>
              <w:rPr>
                <w:rFonts w:hint="eastAsia" w:ascii="宋体" w:hAnsi="宋体" w:eastAsia="宋体" w:cs="宋体"/>
                <w:color w:val="000000"/>
                <w:sz w:val="28"/>
                <w:szCs w:val="28"/>
              </w:rPr>
              <w:t>桐城市经济开发区</w:t>
            </w:r>
          </w:p>
        </w:tc>
      </w:tr>
      <w:tr w14:paraId="39A427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7" w:hRule="atLeast"/>
          <w:jc w:val="center"/>
        </w:trPr>
        <w:tc>
          <w:tcPr>
            <w:tcW w:w="981" w:type="dxa"/>
            <w:tcBorders>
              <w:top w:val="single" w:color="000000" w:sz="4" w:space="0"/>
              <w:left w:val="single" w:color="000000" w:sz="4" w:space="0"/>
              <w:bottom w:val="single" w:color="000000" w:sz="4" w:space="0"/>
              <w:right w:val="single" w:color="000000" w:sz="4" w:space="0"/>
            </w:tcBorders>
            <w:noWrap/>
            <w:vAlign w:val="center"/>
          </w:tcPr>
          <w:p w14:paraId="605B467B">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3</w:t>
            </w:r>
          </w:p>
        </w:tc>
        <w:tc>
          <w:tcPr>
            <w:tcW w:w="2055" w:type="dxa"/>
            <w:tcBorders>
              <w:top w:val="single" w:color="000000" w:sz="4" w:space="0"/>
              <w:left w:val="single" w:color="000000" w:sz="4" w:space="0"/>
              <w:bottom w:val="single" w:color="000000" w:sz="4" w:space="0"/>
              <w:right w:val="single" w:color="000000" w:sz="4" w:space="0"/>
            </w:tcBorders>
            <w:noWrap/>
            <w:vAlign w:val="center"/>
          </w:tcPr>
          <w:p w14:paraId="2AA760CE">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工程规模</w:t>
            </w:r>
          </w:p>
        </w:tc>
        <w:tc>
          <w:tcPr>
            <w:tcW w:w="5960" w:type="dxa"/>
            <w:tcBorders>
              <w:top w:val="single" w:color="000000" w:sz="4" w:space="0"/>
              <w:left w:val="single" w:color="000000" w:sz="4" w:space="0"/>
              <w:bottom w:val="single" w:color="000000" w:sz="4" w:space="0"/>
              <w:right w:val="single" w:color="000000" w:sz="4" w:space="0"/>
            </w:tcBorders>
            <w:noWrap/>
            <w:vAlign w:val="center"/>
          </w:tcPr>
          <w:p w14:paraId="4D03326A">
            <w:pPr>
              <w:spacing w:line="500" w:lineRule="exact"/>
              <w:jc w:val="left"/>
              <w:rPr>
                <w:rFonts w:ascii="宋体" w:hAnsi="宋体" w:eastAsia="宋体" w:cs="宋体"/>
                <w:sz w:val="28"/>
                <w:szCs w:val="28"/>
              </w:rPr>
            </w:pPr>
            <w:r>
              <w:rPr>
                <w:rFonts w:hint="eastAsia" w:hAnsi="宋体" w:eastAsia="宋体" w:cs="宋体"/>
                <w:szCs w:val="28"/>
              </w:rPr>
              <w:t>1、</w:t>
            </w:r>
            <w:r>
              <w:rPr>
                <w:rFonts w:hint="eastAsia" w:ascii="宋体" w:hAnsi="宋体" w:eastAsia="宋体" w:cs="宋体"/>
                <w:sz w:val="28"/>
                <w:szCs w:val="28"/>
              </w:rPr>
              <w:t>金工1#厂房东侧、2#厂房全部，屋面板返修，区综合执法局楼顶坡面彩钢瓦，最终以实际维修面积计算。</w:t>
            </w:r>
          </w:p>
          <w:p w14:paraId="7457BEFF">
            <w:pPr>
              <w:pStyle w:val="2"/>
              <w:spacing w:line="340" w:lineRule="exact"/>
            </w:pPr>
          </w:p>
        </w:tc>
      </w:tr>
      <w:tr w14:paraId="3395FF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7" w:hRule="atLeast"/>
          <w:jc w:val="center"/>
        </w:trPr>
        <w:tc>
          <w:tcPr>
            <w:tcW w:w="981" w:type="dxa"/>
            <w:tcBorders>
              <w:top w:val="single" w:color="000000" w:sz="4" w:space="0"/>
              <w:left w:val="single" w:color="000000" w:sz="4" w:space="0"/>
              <w:bottom w:val="single" w:color="000000" w:sz="4" w:space="0"/>
              <w:right w:val="single" w:color="000000" w:sz="4" w:space="0"/>
            </w:tcBorders>
            <w:noWrap/>
            <w:vAlign w:val="center"/>
          </w:tcPr>
          <w:p w14:paraId="295D3749">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4</w:t>
            </w:r>
          </w:p>
        </w:tc>
        <w:tc>
          <w:tcPr>
            <w:tcW w:w="2055" w:type="dxa"/>
            <w:tcBorders>
              <w:top w:val="single" w:color="000000" w:sz="4" w:space="0"/>
              <w:left w:val="single" w:color="000000" w:sz="4" w:space="0"/>
              <w:bottom w:val="single" w:color="000000" w:sz="4" w:space="0"/>
              <w:right w:val="single" w:color="000000" w:sz="4" w:space="0"/>
            </w:tcBorders>
            <w:noWrap/>
            <w:vAlign w:val="center"/>
          </w:tcPr>
          <w:p w14:paraId="236C4128">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承包方式</w:t>
            </w:r>
          </w:p>
        </w:tc>
        <w:tc>
          <w:tcPr>
            <w:tcW w:w="5960" w:type="dxa"/>
            <w:tcBorders>
              <w:top w:val="single" w:color="000000" w:sz="4" w:space="0"/>
              <w:left w:val="single" w:color="000000" w:sz="4" w:space="0"/>
              <w:bottom w:val="single" w:color="000000" w:sz="4" w:space="0"/>
              <w:right w:val="single" w:color="000000" w:sz="4" w:space="0"/>
            </w:tcBorders>
            <w:noWrap/>
            <w:vAlign w:val="center"/>
          </w:tcPr>
          <w:p w14:paraId="1F8BAE14">
            <w:pPr>
              <w:spacing w:line="500" w:lineRule="exact"/>
              <w:jc w:val="left"/>
              <w:rPr>
                <w:rFonts w:ascii="宋体" w:hAnsi="宋体" w:eastAsia="宋体" w:cs="宋体"/>
                <w:sz w:val="28"/>
                <w:szCs w:val="28"/>
              </w:rPr>
            </w:pPr>
            <w:r>
              <w:rPr>
                <w:rFonts w:hint="eastAsia" w:ascii="宋体" w:hAnsi="宋体" w:eastAsia="宋体" w:cs="宋体"/>
                <w:sz w:val="28"/>
                <w:szCs w:val="28"/>
              </w:rPr>
              <w:t>包工包料、包验收</w:t>
            </w:r>
          </w:p>
        </w:tc>
      </w:tr>
      <w:tr w14:paraId="58DF0B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7" w:hRule="atLeast"/>
          <w:jc w:val="center"/>
        </w:trPr>
        <w:tc>
          <w:tcPr>
            <w:tcW w:w="981" w:type="dxa"/>
            <w:tcBorders>
              <w:top w:val="single" w:color="000000" w:sz="4" w:space="0"/>
              <w:left w:val="single" w:color="000000" w:sz="4" w:space="0"/>
              <w:bottom w:val="single" w:color="000000" w:sz="4" w:space="0"/>
              <w:right w:val="single" w:color="000000" w:sz="4" w:space="0"/>
            </w:tcBorders>
            <w:noWrap/>
            <w:vAlign w:val="center"/>
          </w:tcPr>
          <w:p w14:paraId="2611EA19">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5</w:t>
            </w:r>
          </w:p>
        </w:tc>
        <w:tc>
          <w:tcPr>
            <w:tcW w:w="2055" w:type="dxa"/>
            <w:tcBorders>
              <w:top w:val="single" w:color="000000" w:sz="4" w:space="0"/>
              <w:left w:val="single" w:color="000000" w:sz="4" w:space="0"/>
              <w:bottom w:val="single" w:color="000000" w:sz="4" w:space="0"/>
              <w:right w:val="single" w:color="000000" w:sz="4" w:space="0"/>
            </w:tcBorders>
            <w:noWrap/>
            <w:vAlign w:val="center"/>
          </w:tcPr>
          <w:p w14:paraId="64274758">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质量标准</w:t>
            </w:r>
          </w:p>
        </w:tc>
        <w:tc>
          <w:tcPr>
            <w:tcW w:w="5960" w:type="dxa"/>
            <w:tcBorders>
              <w:top w:val="single" w:color="000000" w:sz="4" w:space="0"/>
              <w:left w:val="single" w:color="000000" w:sz="4" w:space="0"/>
              <w:bottom w:val="single" w:color="000000" w:sz="4" w:space="0"/>
              <w:right w:val="single" w:color="000000" w:sz="4" w:space="0"/>
            </w:tcBorders>
            <w:noWrap/>
            <w:vAlign w:val="center"/>
          </w:tcPr>
          <w:p w14:paraId="59D40AF5">
            <w:pPr>
              <w:spacing w:line="500" w:lineRule="exact"/>
              <w:jc w:val="left"/>
              <w:rPr>
                <w:rFonts w:ascii="宋体" w:hAnsi="宋体" w:eastAsia="宋体" w:cs="宋体"/>
                <w:color w:val="000000"/>
                <w:sz w:val="28"/>
                <w:szCs w:val="28"/>
              </w:rPr>
            </w:pPr>
            <w:r>
              <w:rPr>
                <w:rFonts w:hint="eastAsia" w:ascii="宋体" w:hAnsi="宋体" w:eastAsia="宋体" w:cs="宋体"/>
                <w:color w:val="000000"/>
                <w:sz w:val="28"/>
                <w:szCs w:val="28"/>
              </w:rPr>
              <w:t>达到相关质量的合格标准。</w:t>
            </w:r>
          </w:p>
        </w:tc>
      </w:tr>
      <w:tr w14:paraId="3B0393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7" w:hRule="atLeast"/>
          <w:jc w:val="center"/>
        </w:trPr>
        <w:tc>
          <w:tcPr>
            <w:tcW w:w="981" w:type="dxa"/>
            <w:tcBorders>
              <w:top w:val="single" w:color="000000" w:sz="4" w:space="0"/>
              <w:left w:val="single" w:color="000000" w:sz="4" w:space="0"/>
              <w:bottom w:val="single" w:color="000000" w:sz="4" w:space="0"/>
              <w:right w:val="single" w:color="000000" w:sz="4" w:space="0"/>
            </w:tcBorders>
            <w:noWrap/>
            <w:vAlign w:val="center"/>
          </w:tcPr>
          <w:p w14:paraId="0B163B6E">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6</w:t>
            </w:r>
          </w:p>
        </w:tc>
        <w:tc>
          <w:tcPr>
            <w:tcW w:w="2055" w:type="dxa"/>
            <w:tcBorders>
              <w:top w:val="single" w:color="000000" w:sz="4" w:space="0"/>
              <w:left w:val="single" w:color="000000" w:sz="4" w:space="0"/>
              <w:bottom w:val="single" w:color="000000" w:sz="4" w:space="0"/>
              <w:right w:val="single" w:color="000000" w:sz="4" w:space="0"/>
            </w:tcBorders>
            <w:noWrap/>
            <w:vAlign w:val="center"/>
          </w:tcPr>
          <w:p w14:paraId="6D8D9E72">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招标范围</w:t>
            </w:r>
          </w:p>
        </w:tc>
        <w:tc>
          <w:tcPr>
            <w:tcW w:w="5960" w:type="dxa"/>
            <w:tcBorders>
              <w:top w:val="single" w:color="000000" w:sz="4" w:space="0"/>
              <w:left w:val="single" w:color="000000" w:sz="4" w:space="0"/>
              <w:bottom w:val="single" w:color="000000" w:sz="4" w:space="0"/>
              <w:right w:val="single" w:color="000000" w:sz="4" w:space="0"/>
            </w:tcBorders>
            <w:noWrap/>
            <w:vAlign w:val="center"/>
          </w:tcPr>
          <w:p w14:paraId="2C9769BC">
            <w:pPr>
              <w:spacing w:line="500" w:lineRule="exact"/>
              <w:jc w:val="left"/>
              <w:rPr>
                <w:rFonts w:ascii="宋体" w:hAnsi="宋体" w:eastAsia="宋体" w:cs="宋体"/>
                <w:color w:val="000000"/>
                <w:sz w:val="28"/>
                <w:szCs w:val="28"/>
              </w:rPr>
            </w:pPr>
            <w:r>
              <w:rPr>
                <w:rFonts w:hint="eastAsia" w:ascii="宋体" w:hAnsi="宋体" w:eastAsia="宋体" w:cs="宋体"/>
                <w:color w:val="000000"/>
                <w:sz w:val="28"/>
                <w:szCs w:val="28"/>
              </w:rPr>
              <w:t>工程规模中所列全部内容</w:t>
            </w:r>
          </w:p>
        </w:tc>
      </w:tr>
      <w:tr w14:paraId="2F1212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7" w:hRule="atLeast"/>
          <w:jc w:val="center"/>
        </w:trPr>
        <w:tc>
          <w:tcPr>
            <w:tcW w:w="981" w:type="dxa"/>
            <w:tcBorders>
              <w:top w:val="single" w:color="000000" w:sz="4" w:space="0"/>
              <w:left w:val="single" w:color="000000" w:sz="4" w:space="0"/>
              <w:bottom w:val="single" w:color="000000" w:sz="4" w:space="0"/>
              <w:right w:val="single" w:color="000000" w:sz="4" w:space="0"/>
            </w:tcBorders>
            <w:noWrap/>
            <w:vAlign w:val="center"/>
          </w:tcPr>
          <w:p w14:paraId="7D46BBCE">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7</w:t>
            </w:r>
          </w:p>
        </w:tc>
        <w:tc>
          <w:tcPr>
            <w:tcW w:w="2055" w:type="dxa"/>
            <w:tcBorders>
              <w:top w:val="single" w:color="000000" w:sz="4" w:space="0"/>
              <w:left w:val="single" w:color="000000" w:sz="4" w:space="0"/>
              <w:bottom w:val="single" w:color="000000" w:sz="4" w:space="0"/>
              <w:right w:val="single" w:color="000000" w:sz="4" w:space="0"/>
            </w:tcBorders>
            <w:noWrap/>
            <w:vAlign w:val="center"/>
          </w:tcPr>
          <w:p w14:paraId="4C07EDDF">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工期要求</w:t>
            </w:r>
          </w:p>
        </w:tc>
        <w:tc>
          <w:tcPr>
            <w:tcW w:w="596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B91B97">
            <w:pPr>
              <w:spacing w:line="500" w:lineRule="exact"/>
              <w:jc w:val="left"/>
              <w:rPr>
                <w:rFonts w:ascii="宋体" w:hAnsi="宋体" w:eastAsia="宋体" w:cs="宋体"/>
                <w:color w:val="000000"/>
                <w:sz w:val="28"/>
                <w:szCs w:val="28"/>
              </w:rPr>
            </w:pPr>
            <w:r>
              <w:rPr>
                <w:rFonts w:hint="eastAsia" w:ascii="宋体" w:hAnsi="宋体" w:eastAsia="宋体" w:cs="宋体"/>
                <w:color w:val="000000"/>
                <w:sz w:val="28"/>
                <w:szCs w:val="28"/>
              </w:rPr>
              <w:t>工期 15天</w:t>
            </w:r>
          </w:p>
        </w:tc>
      </w:tr>
      <w:tr w14:paraId="44A701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7" w:hRule="atLeast"/>
          <w:jc w:val="center"/>
        </w:trPr>
        <w:tc>
          <w:tcPr>
            <w:tcW w:w="981" w:type="dxa"/>
            <w:tcBorders>
              <w:top w:val="single" w:color="000000" w:sz="4" w:space="0"/>
              <w:left w:val="single" w:color="000000" w:sz="4" w:space="0"/>
              <w:bottom w:val="single" w:color="000000" w:sz="4" w:space="0"/>
              <w:right w:val="single" w:color="000000" w:sz="4" w:space="0"/>
            </w:tcBorders>
            <w:noWrap/>
            <w:vAlign w:val="center"/>
          </w:tcPr>
          <w:p w14:paraId="7F9F6B45">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8</w:t>
            </w:r>
          </w:p>
        </w:tc>
        <w:tc>
          <w:tcPr>
            <w:tcW w:w="2055" w:type="dxa"/>
            <w:tcBorders>
              <w:top w:val="single" w:color="000000" w:sz="4" w:space="0"/>
              <w:left w:val="single" w:color="000000" w:sz="4" w:space="0"/>
              <w:bottom w:val="single" w:color="000000" w:sz="4" w:space="0"/>
              <w:right w:val="single" w:color="000000" w:sz="4" w:space="0"/>
            </w:tcBorders>
            <w:noWrap/>
            <w:vAlign w:val="center"/>
          </w:tcPr>
          <w:p w14:paraId="4E977CD6">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资金来源</w:t>
            </w:r>
          </w:p>
        </w:tc>
        <w:tc>
          <w:tcPr>
            <w:tcW w:w="5960" w:type="dxa"/>
            <w:tcBorders>
              <w:top w:val="single" w:color="000000" w:sz="4" w:space="0"/>
              <w:left w:val="single" w:color="000000" w:sz="4" w:space="0"/>
              <w:bottom w:val="single" w:color="000000" w:sz="4" w:space="0"/>
              <w:right w:val="single" w:color="000000" w:sz="4" w:space="0"/>
            </w:tcBorders>
            <w:noWrap/>
            <w:vAlign w:val="center"/>
          </w:tcPr>
          <w:p w14:paraId="4123872F">
            <w:pPr>
              <w:spacing w:line="500" w:lineRule="exact"/>
              <w:jc w:val="left"/>
              <w:rPr>
                <w:rFonts w:ascii="宋体" w:hAnsi="宋体" w:eastAsia="宋体" w:cs="宋体"/>
                <w:color w:val="000000"/>
                <w:sz w:val="28"/>
                <w:szCs w:val="28"/>
              </w:rPr>
            </w:pPr>
            <w:r>
              <w:rPr>
                <w:rFonts w:hint="eastAsia" w:ascii="宋体" w:hAnsi="宋体" w:eastAsia="宋体" w:cs="宋体"/>
                <w:color w:val="000000"/>
                <w:sz w:val="28"/>
                <w:szCs w:val="28"/>
              </w:rPr>
              <w:t>企业自筹资金</w:t>
            </w:r>
          </w:p>
        </w:tc>
      </w:tr>
      <w:tr w14:paraId="370022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7" w:hRule="atLeast"/>
          <w:jc w:val="center"/>
        </w:trPr>
        <w:tc>
          <w:tcPr>
            <w:tcW w:w="981" w:type="dxa"/>
            <w:tcBorders>
              <w:top w:val="single" w:color="000000" w:sz="4" w:space="0"/>
              <w:left w:val="single" w:color="000000" w:sz="4" w:space="0"/>
              <w:bottom w:val="single" w:color="000000" w:sz="4" w:space="0"/>
              <w:right w:val="single" w:color="000000" w:sz="4" w:space="0"/>
            </w:tcBorders>
            <w:noWrap/>
            <w:vAlign w:val="center"/>
          </w:tcPr>
          <w:p w14:paraId="60D26C59">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9</w:t>
            </w:r>
          </w:p>
        </w:tc>
        <w:tc>
          <w:tcPr>
            <w:tcW w:w="2055" w:type="dxa"/>
            <w:tcBorders>
              <w:top w:val="single" w:color="000000" w:sz="4" w:space="0"/>
              <w:left w:val="single" w:color="000000" w:sz="4" w:space="0"/>
              <w:bottom w:val="single" w:color="000000" w:sz="4" w:space="0"/>
              <w:right w:val="single" w:color="000000" w:sz="4" w:space="0"/>
            </w:tcBorders>
            <w:noWrap/>
            <w:vAlign w:val="center"/>
          </w:tcPr>
          <w:p w14:paraId="76A34352">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资格审查方式</w:t>
            </w:r>
          </w:p>
        </w:tc>
        <w:tc>
          <w:tcPr>
            <w:tcW w:w="5960" w:type="dxa"/>
            <w:tcBorders>
              <w:top w:val="single" w:color="000000" w:sz="4" w:space="0"/>
              <w:left w:val="single" w:color="000000" w:sz="4" w:space="0"/>
              <w:bottom w:val="single" w:color="000000" w:sz="4" w:space="0"/>
              <w:right w:val="single" w:color="000000" w:sz="4" w:space="0"/>
            </w:tcBorders>
            <w:noWrap/>
          </w:tcPr>
          <w:p w14:paraId="7B18A374">
            <w:pPr>
              <w:spacing w:line="500" w:lineRule="exact"/>
              <w:jc w:val="left"/>
              <w:rPr>
                <w:rFonts w:ascii="宋体" w:hAnsi="宋体" w:eastAsia="宋体" w:cs="宋体"/>
                <w:sz w:val="28"/>
                <w:szCs w:val="28"/>
              </w:rPr>
            </w:pPr>
            <w:r>
              <w:rPr>
                <w:rFonts w:hint="eastAsia" w:ascii="宋体" w:hAnsi="宋体" w:eastAsia="宋体" w:cs="宋体"/>
                <w:sz w:val="28"/>
                <w:szCs w:val="28"/>
              </w:rPr>
              <w:t>资格先审。通过资格审核后方可进行投标报价</w:t>
            </w:r>
          </w:p>
        </w:tc>
      </w:tr>
      <w:tr w14:paraId="09F61A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7" w:hRule="atLeast"/>
          <w:jc w:val="center"/>
        </w:trPr>
        <w:tc>
          <w:tcPr>
            <w:tcW w:w="981" w:type="dxa"/>
            <w:tcBorders>
              <w:top w:val="single" w:color="000000" w:sz="4" w:space="0"/>
              <w:left w:val="single" w:color="000000" w:sz="4" w:space="0"/>
              <w:bottom w:val="single" w:color="000000" w:sz="4" w:space="0"/>
              <w:right w:val="single" w:color="000000" w:sz="4" w:space="0"/>
            </w:tcBorders>
            <w:noWrap/>
            <w:vAlign w:val="center"/>
          </w:tcPr>
          <w:p w14:paraId="3ECD1CB3">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10</w:t>
            </w:r>
          </w:p>
        </w:tc>
        <w:tc>
          <w:tcPr>
            <w:tcW w:w="2055" w:type="dxa"/>
            <w:tcBorders>
              <w:top w:val="single" w:color="000000" w:sz="4" w:space="0"/>
              <w:left w:val="single" w:color="000000" w:sz="4" w:space="0"/>
              <w:bottom w:val="single" w:color="000000" w:sz="4" w:space="0"/>
              <w:right w:val="single" w:color="000000" w:sz="4" w:space="0"/>
            </w:tcBorders>
            <w:noWrap/>
            <w:vAlign w:val="center"/>
          </w:tcPr>
          <w:p w14:paraId="3CCE5B30">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审查截止时间</w:t>
            </w:r>
          </w:p>
        </w:tc>
        <w:tc>
          <w:tcPr>
            <w:tcW w:w="5960" w:type="dxa"/>
            <w:tcBorders>
              <w:top w:val="single" w:color="000000" w:sz="4" w:space="0"/>
              <w:left w:val="single" w:color="000000" w:sz="4" w:space="0"/>
              <w:bottom w:val="single" w:color="000000" w:sz="4" w:space="0"/>
              <w:right w:val="single" w:color="000000" w:sz="4" w:space="0"/>
            </w:tcBorders>
            <w:noWrap/>
          </w:tcPr>
          <w:p w14:paraId="0365E342">
            <w:pPr>
              <w:spacing w:line="500" w:lineRule="exact"/>
              <w:jc w:val="left"/>
              <w:rPr>
                <w:rFonts w:ascii="宋体" w:hAnsi="宋体" w:eastAsia="宋体" w:cs="宋体"/>
                <w:color w:val="000000"/>
                <w:sz w:val="28"/>
                <w:szCs w:val="28"/>
              </w:rPr>
            </w:pPr>
            <w:r>
              <w:rPr>
                <w:rFonts w:hint="eastAsia" w:ascii="宋体" w:hAnsi="宋体" w:eastAsia="宋体" w:cs="宋体"/>
                <w:color w:val="000000"/>
                <w:sz w:val="28"/>
                <w:szCs w:val="28"/>
              </w:rPr>
              <w:t>2024年10月8日16时</w:t>
            </w:r>
          </w:p>
        </w:tc>
      </w:tr>
      <w:tr w14:paraId="7B979D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7" w:hRule="atLeast"/>
          <w:jc w:val="center"/>
        </w:trPr>
        <w:tc>
          <w:tcPr>
            <w:tcW w:w="981" w:type="dxa"/>
            <w:tcBorders>
              <w:top w:val="single" w:color="000000" w:sz="4" w:space="0"/>
              <w:left w:val="single" w:color="000000" w:sz="4" w:space="0"/>
              <w:bottom w:val="single" w:color="000000" w:sz="4" w:space="0"/>
              <w:right w:val="single" w:color="000000" w:sz="4" w:space="0"/>
            </w:tcBorders>
            <w:noWrap/>
            <w:vAlign w:val="center"/>
          </w:tcPr>
          <w:p w14:paraId="7CC563AF">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11</w:t>
            </w:r>
          </w:p>
        </w:tc>
        <w:tc>
          <w:tcPr>
            <w:tcW w:w="2055" w:type="dxa"/>
            <w:tcBorders>
              <w:top w:val="single" w:color="000000" w:sz="4" w:space="0"/>
              <w:left w:val="single" w:color="000000" w:sz="4" w:space="0"/>
              <w:bottom w:val="single" w:color="000000" w:sz="4" w:space="0"/>
              <w:right w:val="single" w:color="000000" w:sz="4" w:space="0"/>
            </w:tcBorders>
            <w:noWrap/>
            <w:vAlign w:val="center"/>
          </w:tcPr>
          <w:p w14:paraId="7833A3CE">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投标有效期</w:t>
            </w:r>
          </w:p>
        </w:tc>
        <w:tc>
          <w:tcPr>
            <w:tcW w:w="5960" w:type="dxa"/>
            <w:tcBorders>
              <w:top w:val="single" w:color="000000" w:sz="4" w:space="0"/>
              <w:left w:val="single" w:color="000000" w:sz="4" w:space="0"/>
              <w:bottom w:val="single" w:color="000000" w:sz="4" w:space="0"/>
              <w:right w:val="single" w:color="000000" w:sz="4" w:space="0"/>
            </w:tcBorders>
            <w:noWrap/>
          </w:tcPr>
          <w:p w14:paraId="03A98861">
            <w:pPr>
              <w:spacing w:line="500" w:lineRule="exact"/>
              <w:jc w:val="left"/>
              <w:rPr>
                <w:rFonts w:ascii="宋体" w:hAnsi="宋体" w:eastAsia="宋体" w:cs="宋体"/>
                <w:color w:val="000000"/>
                <w:sz w:val="28"/>
                <w:szCs w:val="28"/>
              </w:rPr>
            </w:pPr>
            <w:r>
              <w:rPr>
                <w:rFonts w:hint="eastAsia" w:ascii="宋体" w:hAnsi="宋体" w:eastAsia="宋体" w:cs="宋体"/>
                <w:color w:val="000000"/>
                <w:sz w:val="28"/>
                <w:szCs w:val="28"/>
              </w:rPr>
              <w:t>为90日历天（从投标截至之日算起）</w:t>
            </w:r>
          </w:p>
        </w:tc>
      </w:tr>
      <w:tr w14:paraId="72D41A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7" w:hRule="atLeast"/>
          <w:jc w:val="center"/>
        </w:trPr>
        <w:tc>
          <w:tcPr>
            <w:tcW w:w="981" w:type="dxa"/>
            <w:tcBorders>
              <w:top w:val="single" w:color="000000" w:sz="4" w:space="0"/>
              <w:left w:val="single" w:color="000000" w:sz="4" w:space="0"/>
              <w:bottom w:val="single" w:color="000000" w:sz="4" w:space="0"/>
              <w:right w:val="single" w:color="000000" w:sz="4" w:space="0"/>
            </w:tcBorders>
            <w:noWrap/>
            <w:vAlign w:val="center"/>
          </w:tcPr>
          <w:p w14:paraId="5DB47F56">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12</w:t>
            </w:r>
          </w:p>
        </w:tc>
        <w:tc>
          <w:tcPr>
            <w:tcW w:w="2055" w:type="dxa"/>
            <w:tcBorders>
              <w:top w:val="single" w:color="000000" w:sz="4" w:space="0"/>
              <w:left w:val="single" w:color="000000" w:sz="4" w:space="0"/>
              <w:bottom w:val="single" w:color="000000" w:sz="4" w:space="0"/>
              <w:right w:val="single" w:color="000000" w:sz="4" w:space="0"/>
            </w:tcBorders>
            <w:noWrap/>
            <w:vAlign w:val="center"/>
          </w:tcPr>
          <w:p w14:paraId="39534422">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投标保证金</w:t>
            </w:r>
          </w:p>
        </w:tc>
        <w:tc>
          <w:tcPr>
            <w:tcW w:w="5960" w:type="dxa"/>
            <w:tcBorders>
              <w:top w:val="single" w:color="000000" w:sz="4" w:space="0"/>
              <w:left w:val="single" w:color="000000" w:sz="4" w:space="0"/>
              <w:bottom w:val="single" w:color="000000" w:sz="4" w:space="0"/>
              <w:right w:val="single" w:color="000000" w:sz="4" w:space="0"/>
            </w:tcBorders>
            <w:noWrap/>
          </w:tcPr>
          <w:p w14:paraId="64C5F0F8">
            <w:pPr>
              <w:spacing w:line="500" w:lineRule="exact"/>
              <w:jc w:val="left"/>
              <w:rPr>
                <w:rFonts w:ascii="宋体" w:hAnsi="宋体" w:eastAsia="宋体" w:cs="宋体"/>
                <w:color w:val="000000"/>
                <w:sz w:val="28"/>
                <w:szCs w:val="28"/>
              </w:rPr>
            </w:pPr>
            <w:r>
              <w:rPr>
                <w:rFonts w:hint="eastAsia" w:ascii="宋体" w:hAnsi="宋体" w:eastAsia="宋体" w:cs="宋体"/>
                <w:color w:val="000000"/>
                <w:sz w:val="28"/>
                <w:szCs w:val="28"/>
              </w:rPr>
              <w:t>人民币：壹万元整（￥10000.00元）</w:t>
            </w:r>
          </w:p>
        </w:tc>
      </w:tr>
      <w:tr w14:paraId="561054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7" w:hRule="atLeast"/>
          <w:jc w:val="center"/>
        </w:trPr>
        <w:tc>
          <w:tcPr>
            <w:tcW w:w="981" w:type="dxa"/>
            <w:tcBorders>
              <w:top w:val="single" w:color="000000" w:sz="4" w:space="0"/>
              <w:left w:val="single" w:color="000000" w:sz="4" w:space="0"/>
              <w:bottom w:val="single" w:color="000000" w:sz="4" w:space="0"/>
              <w:right w:val="single" w:color="000000" w:sz="4" w:space="0"/>
            </w:tcBorders>
            <w:noWrap/>
            <w:vAlign w:val="center"/>
          </w:tcPr>
          <w:p w14:paraId="1B2DDC39">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13</w:t>
            </w:r>
          </w:p>
        </w:tc>
        <w:tc>
          <w:tcPr>
            <w:tcW w:w="2055" w:type="dxa"/>
            <w:tcBorders>
              <w:top w:val="single" w:color="000000" w:sz="4" w:space="0"/>
              <w:left w:val="single" w:color="000000" w:sz="4" w:space="0"/>
              <w:bottom w:val="single" w:color="000000" w:sz="4" w:space="0"/>
              <w:right w:val="single" w:color="000000" w:sz="4" w:space="0"/>
            </w:tcBorders>
            <w:noWrap/>
            <w:vAlign w:val="center"/>
          </w:tcPr>
          <w:p w14:paraId="3CEF58DF">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踏勘现场</w:t>
            </w:r>
          </w:p>
        </w:tc>
        <w:tc>
          <w:tcPr>
            <w:tcW w:w="5960" w:type="dxa"/>
            <w:tcBorders>
              <w:top w:val="single" w:color="000000" w:sz="4" w:space="0"/>
              <w:left w:val="single" w:color="000000" w:sz="4" w:space="0"/>
              <w:bottom w:val="single" w:color="000000" w:sz="4" w:space="0"/>
              <w:right w:val="single" w:color="000000" w:sz="4" w:space="0"/>
            </w:tcBorders>
            <w:noWrap/>
          </w:tcPr>
          <w:p w14:paraId="314CBBB1">
            <w:pPr>
              <w:spacing w:line="500" w:lineRule="exact"/>
              <w:jc w:val="left"/>
              <w:rPr>
                <w:rFonts w:ascii="宋体" w:hAnsi="宋体" w:eastAsia="宋体" w:cs="宋体"/>
                <w:color w:val="000000"/>
                <w:sz w:val="28"/>
                <w:szCs w:val="28"/>
              </w:rPr>
            </w:pPr>
            <w:r>
              <w:rPr>
                <w:rFonts w:hint="eastAsia" w:ascii="宋体" w:hAnsi="宋体" w:eastAsia="宋体" w:cs="宋体"/>
                <w:color w:val="000000"/>
                <w:sz w:val="28"/>
                <w:szCs w:val="28"/>
              </w:rPr>
              <w:t>各投标人自行踏勘，招标单位只提供现有条件。</w:t>
            </w:r>
          </w:p>
        </w:tc>
      </w:tr>
      <w:tr w14:paraId="46B6EF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81" w:type="dxa"/>
            <w:tcBorders>
              <w:top w:val="single" w:color="000000" w:sz="4" w:space="0"/>
              <w:left w:val="single" w:color="000000" w:sz="4" w:space="0"/>
              <w:bottom w:val="single" w:color="000000" w:sz="4" w:space="0"/>
              <w:right w:val="single" w:color="000000" w:sz="4" w:space="0"/>
            </w:tcBorders>
            <w:noWrap/>
            <w:vAlign w:val="center"/>
          </w:tcPr>
          <w:p w14:paraId="6AE79736">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14</w:t>
            </w:r>
          </w:p>
        </w:tc>
        <w:tc>
          <w:tcPr>
            <w:tcW w:w="2055" w:type="dxa"/>
            <w:tcBorders>
              <w:top w:val="single" w:color="000000" w:sz="4" w:space="0"/>
              <w:left w:val="single" w:color="000000" w:sz="4" w:space="0"/>
              <w:bottom w:val="single" w:color="000000" w:sz="4" w:space="0"/>
              <w:right w:val="single" w:color="000000" w:sz="4" w:space="0"/>
            </w:tcBorders>
            <w:noWrap/>
            <w:vAlign w:val="center"/>
          </w:tcPr>
          <w:p w14:paraId="217151F8">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投标文件提交地点、截至时间</w:t>
            </w:r>
          </w:p>
        </w:tc>
        <w:tc>
          <w:tcPr>
            <w:tcW w:w="5960" w:type="dxa"/>
            <w:tcBorders>
              <w:top w:val="single" w:color="000000" w:sz="4" w:space="0"/>
              <w:left w:val="single" w:color="000000" w:sz="4" w:space="0"/>
              <w:bottom w:val="single" w:color="000000" w:sz="4" w:space="0"/>
              <w:right w:val="single" w:color="000000" w:sz="4" w:space="0"/>
            </w:tcBorders>
            <w:noWrap/>
          </w:tcPr>
          <w:p w14:paraId="1B747292">
            <w:pPr>
              <w:spacing w:line="360" w:lineRule="exact"/>
              <w:jc w:val="left"/>
              <w:rPr>
                <w:rFonts w:ascii="宋体" w:hAnsi="宋体" w:eastAsia="宋体" w:cs="宋体"/>
                <w:color w:val="000000"/>
                <w:sz w:val="28"/>
                <w:szCs w:val="28"/>
              </w:rPr>
            </w:pPr>
            <w:r>
              <w:rPr>
                <w:rFonts w:hint="eastAsia" w:ascii="宋体" w:hAnsi="宋体" w:eastAsia="宋体" w:cs="宋体"/>
                <w:color w:val="000000"/>
                <w:sz w:val="28"/>
                <w:szCs w:val="28"/>
              </w:rPr>
              <w:t>收件人： 胡良飞</w:t>
            </w:r>
          </w:p>
          <w:p w14:paraId="64ADCF38">
            <w:pPr>
              <w:spacing w:line="360" w:lineRule="exact"/>
              <w:ind w:left="980" w:hanging="980" w:hangingChars="350"/>
              <w:jc w:val="left"/>
              <w:rPr>
                <w:rFonts w:ascii="宋体" w:hAnsi="宋体" w:eastAsia="宋体" w:cs="宋体"/>
                <w:color w:val="000000"/>
                <w:sz w:val="28"/>
                <w:szCs w:val="28"/>
              </w:rPr>
            </w:pPr>
            <w:r>
              <w:rPr>
                <w:rFonts w:hint="eastAsia" w:ascii="宋体" w:hAnsi="宋体" w:eastAsia="宋体" w:cs="宋体"/>
                <w:color w:val="000000"/>
                <w:sz w:val="28"/>
                <w:szCs w:val="28"/>
              </w:rPr>
              <w:t>地点：桐城经开区建投集团五楼招投标办公室</w:t>
            </w:r>
          </w:p>
          <w:p w14:paraId="14243B30">
            <w:pPr>
              <w:spacing w:line="360" w:lineRule="exact"/>
              <w:jc w:val="left"/>
              <w:rPr>
                <w:rFonts w:ascii="宋体" w:hAnsi="宋体" w:eastAsia="宋体" w:cs="宋体"/>
                <w:color w:val="000000"/>
                <w:sz w:val="28"/>
                <w:szCs w:val="28"/>
              </w:rPr>
            </w:pPr>
            <w:r>
              <w:rPr>
                <w:rFonts w:hint="eastAsia" w:ascii="宋体" w:hAnsi="宋体" w:eastAsia="宋体" w:cs="宋体"/>
                <w:color w:val="000000"/>
                <w:sz w:val="28"/>
                <w:szCs w:val="28"/>
              </w:rPr>
              <w:t>时间： 2024年10月9日15时</w:t>
            </w:r>
          </w:p>
        </w:tc>
      </w:tr>
      <w:tr w14:paraId="09FAA2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81" w:type="dxa"/>
            <w:tcBorders>
              <w:top w:val="single" w:color="000000" w:sz="4" w:space="0"/>
              <w:left w:val="single" w:color="000000" w:sz="4" w:space="0"/>
              <w:bottom w:val="single" w:color="000000" w:sz="4" w:space="0"/>
              <w:right w:val="single" w:color="000000" w:sz="4" w:space="0"/>
            </w:tcBorders>
            <w:noWrap/>
            <w:vAlign w:val="center"/>
          </w:tcPr>
          <w:p w14:paraId="4A094D86">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15</w:t>
            </w:r>
          </w:p>
        </w:tc>
        <w:tc>
          <w:tcPr>
            <w:tcW w:w="2055" w:type="dxa"/>
            <w:tcBorders>
              <w:top w:val="single" w:color="000000" w:sz="4" w:space="0"/>
              <w:left w:val="single" w:color="000000" w:sz="4" w:space="0"/>
              <w:bottom w:val="single" w:color="000000" w:sz="4" w:space="0"/>
              <w:right w:val="single" w:color="000000" w:sz="4" w:space="0"/>
            </w:tcBorders>
            <w:noWrap/>
            <w:vAlign w:val="center"/>
          </w:tcPr>
          <w:p w14:paraId="7A70C3CF">
            <w:pPr>
              <w:spacing w:line="500" w:lineRule="exact"/>
              <w:jc w:val="center"/>
              <w:rPr>
                <w:rFonts w:ascii="宋体" w:hAnsi="宋体" w:eastAsia="宋体" w:cs="宋体"/>
                <w:color w:val="000000"/>
                <w:sz w:val="28"/>
                <w:szCs w:val="28"/>
              </w:rPr>
            </w:pPr>
            <w:r>
              <w:rPr>
                <w:rFonts w:hint="eastAsia" w:ascii="宋体" w:hAnsi="宋体" w:eastAsia="宋体" w:cs="宋体"/>
                <w:color w:val="000000"/>
                <w:sz w:val="28"/>
                <w:szCs w:val="28"/>
              </w:rPr>
              <w:t>开标时间</w:t>
            </w:r>
          </w:p>
        </w:tc>
        <w:tc>
          <w:tcPr>
            <w:tcW w:w="5960" w:type="dxa"/>
            <w:tcBorders>
              <w:top w:val="single" w:color="000000" w:sz="4" w:space="0"/>
              <w:left w:val="single" w:color="000000" w:sz="4" w:space="0"/>
              <w:bottom w:val="single" w:color="000000" w:sz="4" w:space="0"/>
              <w:right w:val="single" w:color="000000" w:sz="4" w:space="0"/>
            </w:tcBorders>
            <w:noWrap/>
          </w:tcPr>
          <w:p w14:paraId="30F5B528">
            <w:pPr>
              <w:spacing w:line="360" w:lineRule="exact"/>
              <w:jc w:val="left"/>
              <w:rPr>
                <w:rFonts w:ascii="宋体" w:hAnsi="宋体" w:eastAsia="宋体" w:cs="宋体"/>
                <w:color w:val="000000"/>
                <w:sz w:val="28"/>
                <w:szCs w:val="28"/>
              </w:rPr>
            </w:pPr>
            <w:r>
              <w:rPr>
                <w:rFonts w:hint="eastAsia" w:ascii="宋体" w:hAnsi="宋体" w:eastAsia="宋体" w:cs="宋体"/>
                <w:color w:val="000000"/>
                <w:sz w:val="28"/>
                <w:szCs w:val="28"/>
              </w:rPr>
              <w:t>开始时间：2024年10月9日15时</w:t>
            </w:r>
          </w:p>
          <w:p w14:paraId="193935C8">
            <w:pPr>
              <w:spacing w:line="360" w:lineRule="exact"/>
              <w:jc w:val="left"/>
              <w:rPr>
                <w:rFonts w:ascii="宋体" w:hAnsi="宋体" w:eastAsia="宋体" w:cs="宋体"/>
                <w:color w:val="000000"/>
                <w:sz w:val="28"/>
                <w:szCs w:val="28"/>
              </w:rPr>
            </w:pPr>
            <w:r>
              <w:rPr>
                <w:rFonts w:hint="eastAsia" w:ascii="宋体" w:hAnsi="宋体" w:eastAsia="宋体" w:cs="宋体"/>
                <w:color w:val="000000"/>
                <w:sz w:val="28"/>
                <w:szCs w:val="28"/>
              </w:rPr>
              <w:t>地点：桐城经开区建投集团五楼招投标办公室</w:t>
            </w:r>
          </w:p>
        </w:tc>
      </w:tr>
    </w:tbl>
    <w:p w14:paraId="0C71BCE9">
      <w:pPr>
        <w:spacing w:line="580" w:lineRule="exact"/>
        <w:jc w:val="center"/>
        <w:rPr>
          <w:rFonts w:ascii="华文中宋" w:hAnsi="华文中宋" w:eastAsia="华文中宋" w:cs="华文中宋"/>
          <w:b/>
          <w:color w:val="000000"/>
          <w:sz w:val="44"/>
          <w:szCs w:val="44"/>
        </w:rPr>
      </w:pPr>
    </w:p>
    <w:p w14:paraId="60001FF7">
      <w:pPr>
        <w:spacing w:line="580" w:lineRule="exact"/>
        <w:jc w:val="center"/>
        <w:rPr>
          <w:rFonts w:ascii="华文中宋" w:hAnsi="华文中宋" w:eastAsia="华文中宋" w:cs="华文中宋"/>
          <w:sz w:val="44"/>
          <w:szCs w:val="44"/>
        </w:rPr>
      </w:pPr>
      <w:r>
        <w:rPr>
          <w:rFonts w:hint="eastAsia" w:ascii="华文中宋" w:hAnsi="华文中宋" w:eastAsia="华文中宋" w:cs="华文中宋"/>
          <w:b/>
          <w:color w:val="000000"/>
          <w:sz w:val="44"/>
          <w:szCs w:val="44"/>
        </w:rPr>
        <w:t>招标文件</w:t>
      </w:r>
    </w:p>
    <w:p w14:paraId="39E2F2C7">
      <w:pPr>
        <w:spacing w:line="500" w:lineRule="exact"/>
        <w:ind w:firstLine="560" w:firstLineChars="200"/>
        <w:rPr>
          <w:rFonts w:ascii="宋体" w:hAnsi="宋体" w:eastAsia="宋体" w:cs="宋体"/>
          <w:sz w:val="28"/>
          <w:szCs w:val="28"/>
        </w:rPr>
      </w:pPr>
      <w:r>
        <w:rPr>
          <w:rFonts w:hint="eastAsia" w:ascii="宋体" w:hAnsi="宋体" w:eastAsia="宋体" w:cs="宋体"/>
          <w:sz w:val="28"/>
          <w:szCs w:val="28"/>
        </w:rPr>
        <w:t>根据桐城经开区建设投资集团有限公司工程部工作安排，盛运重工金工1#、2#厂房屋顶渗漏维修及区综合执法局楼顶坡面彩钢瓦翻新工程由桐城市天正控股集团有限公司施工。现桐城市天正控股集团有限公司对盛运重工金工1#、2#厂房屋顶渗漏维修工程及区综合执法局楼顶坡面彩钢瓦的劳务进行公开招标。择优劳务公司。</w:t>
      </w:r>
    </w:p>
    <w:p w14:paraId="0B3B38F6">
      <w:pPr>
        <w:numPr>
          <w:ilvl w:val="0"/>
          <w:numId w:val="1"/>
        </w:numPr>
        <w:spacing w:line="500" w:lineRule="exact"/>
        <w:rPr>
          <w:rFonts w:ascii="宋体" w:hAnsi="宋体" w:eastAsia="宋体" w:cs="宋体"/>
          <w:color w:val="000000"/>
          <w:sz w:val="28"/>
          <w:szCs w:val="28"/>
        </w:rPr>
      </w:pPr>
      <w:r>
        <w:rPr>
          <w:rFonts w:hint="eastAsia" w:ascii="宋体" w:hAnsi="宋体" w:eastAsia="宋体" w:cs="宋体"/>
          <w:b/>
          <w:bCs/>
          <w:sz w:val="28"/>
          <w:szCs w:val="28"/>
        </w:rPr>
        <w:t>项目名称及编号：</w:t>
      </w:r>
      <w:r>
        <w:rPr>
          <w:rFonts w:hint="eastAsia" w:ascii="宋体" w:hAnsi="宋体" w:eastAsia="宋体" w:cs="宋体"/>
          <w:color w:val="000000"/>
          <w:sz w:val="28"/>
          <w:szCs w:val="28"/>
        </w:rPr>
        <w:t>桐城盛运重工金工1#、2#厂房屋顶渗漏维修</w:t>
      </w:r>
      <w:r>
        <w:rPr>
          <w:rFonts w:hint="eastAsia" w:ascii="宋体" w:hAnsi="宋体" w:eastAsia="宋体" w:cs="宋体"/>
          <w:sz w:val="28"/>
          <w:szCs w:val="28"/>
        </w:rPr>
        <w:t>及区综合执法局楼顶坡面彩钢瓦翻新</w:t>
      </w:r>
      <w:r>
        <w:rPr>
          <w:rFonts w:hint="eastAsia" w:ascii="宋体" w:hAnsi="宋体" w:eastAsia="宋体" w:cs="宋体"/>
          <w:color w:val="000000"/>
          <w:sz w:val="28"/>
          <w:szCs w:val="28"/>
        </w:rPr>
        <w:t>工程</w:t>
      </w:r>
    </w:p>
    <w:p w14:paraId="3DC1B5B8">
      <w:pPr>
        <w:spacing w:line="500" w:lineRule="exact"/>
        <w:ind w:firstLine="560" w:firstLineChars="200"/>
        <w:rPr>
          <w:rFonts w:ascii="宋体" w:hAnsi="宋体" w:eastAsia="宋体" w:cs="宋体"/>
          <w:sz w:val="28"/>
          <w:szCs w:val="28"/>
        </w:rPr>
      </w:pPr>
      <w:r>
        <w:rPr>
          <w:rFonts w:hint="eastAsia" w:ascii="宋体" w:hAnsi="宋体" w:eastAsia="宋体" w:cs="宋体"/>
          <w:sz w:val="28"/>
          <w:szCs w:val="28"/>
        </w:rPr>
        <w:t>招标编号：JKQJT-2024062</w:t>
      </w:r>
    </w:p>
    <w:p w14:paraId="74C8A386">
      <w:pPr>
        <w:spacing w:line="500" w:lineRule="exact"/>
        <w:rPr>
          <w:rFonts w:ascii="宋体" w:hAnsi="宋体" w:eastAsia="宋体" w:cs="宋体"/>
          <w:sz w:val="28"/>
          <w:szCs w:val="28"/>
        </w:rPr>
      </w:pPr>
      <w:r>
        <w:rPr>
          <w:rFonts w:hint="eastAsia" w:ascii="宋体" w:hAnsi="宋体" w:eastAsia="宋体" w:cs="宋体"/>
          <w:b/>
          <w:bCs/>
          <w:sz w:val="28"/>
          <w:szCs w:val="28"/>
        </w:rPr>
        <w:t>二、招标人：</w:t>
      </w:r>
      <w:r>
        <w:rPr>
          <w:rFonts w:hint="eastAsia" w:ascii="宋体" w:hAnsi="宋体" w:eastAsia="宋体" w:cs="宋体"/>
          <w:sz w:val="28"/>
          <w:szCs w:val="28"/>
        </w:rPr>
        <w:t>桐城市天正控股集团有限公司</w:t>
      </w:r>
    </w:p>
    <w:p w14:paraId="65369E58">
      <w:pPr>
        <w:spacing w:line="500" w:lineRule="exact"/>
        <w:rPr>
          <w:rFonts w:ascii="宋体" w:hAnsi="宋体" w:eastAsia="宋体" w:cs="宋体"/>
          <w:b/>
          <w:bCs/>
          <w:sz w:val="28"/>
          <w:szCs w:val="28"/>
        </w:rPr>
      </w:pPr>
      <w:r>
        <w:rPr>
          <w:rFonts w:hint="eastAsia" w:ascii="宋体" w:hAnsi="宋体" w:eastAsia="宋体" w:cs="宋体"/>
          <w:b/>
          <w:bCs/>
          <w:sz w:val="28"/>
          <w:szCs w:val="28"/>
        </w:rPr>
        <w:t>三、招标内容：</w:t>
      </w:r>
    </w:p>
    <w:p w14:paraId="06A7B026">
      <w:pPr>
        <w:spacing w:line="500" w:lineRule="exact"/>
        <w:rPr>
          <w:rFonts w:ascii="宋体" w:hAnsi="宋体" w:eastAsia="宋体" w:cs="宋体"/>
          <w:sz w:val="28"/>
          <w:szCs w:val="28"/>
        </w:rPr>
      </w:pPr>
      <w:r>
        <w:rPr>
          <w:rFonts w:hint="eastAsia" w:ascii="宋体" w:hAnsi="宋体" w:eastAsia="宋体" w:cs="宋体"/>
          <w:sz w:val="28"/>
          <w:szCs w:val="28"/>
        </w:rPr>
        <w:t>1、工程地点：</w:t>
      </w:r>
      <w:r>
        <w:rPr>
          <w:rFonts w:hint="eastAsia" w:ascii="宋体" w:hAnsi="宋体" w:eastAsia="宋体" w:cs="宋体"/>
          <w:color w:val="000000"/>
          <w:sz w:val="28"/>
          <w:szCs w:val="28"/>
        </w:rPr>
        <w:t>桐城市经济开发区</w:t>
      </w:r>
      <w:r>
        <w:rPr>
          <w:rFonts w:hint="eastAsia" w:ascii="宋体" w:hAnsi="宋体" w:eastAsia="宋体" w:cs="宋体"/>
          <w:sz w:val="28"/>
          <w:szCs w:val="28"/>
        </w:rPr>
        <w:t>。</w:t>
      </w:r>
    </w:p>
    <w:p w14:paraId="6D0512EE">
      <w:pPr>
        <w:spacing w:line="500" w:lineRule="exact"/>
        <w:jc w:val="left"/>
        <w:rPr>
          <w:rFonts w:ascii="宋体" w:hAnsi="宋体" w:eastAsia="宋体" w:cs="宋体"/>
          <w:sz w:val="28"/>
          <w:szCs w:val="28"/>
        </w:rPr>
      </w:pPr>
      <w:r>
        <w:rPr>
          <w:rFonts w:hint="eastAsia" w:ascii="宋体" w:hAnsi="宋体" w:eastAsia="宋体" w:cs="宋体"/>
          <w:sz w:val="28"/>
          <w:szCs w:val="28"/>
        </w:rPr>
        <w:t>2、工程规模：金工1#厂房东侧、2#厂房全部，屋面板返修面积约为9842平方米，最终以实际维修面积计算。区综合执法局楼顶坡面彩钢瓦的面积按实计算。</w:t>
      </w:r>
    </w:p>
    <w:p w14:paraId="10CDF948">
      <w:pPr>
        <w:spacing w:line="500" w:lineRule="exact"/>
        <w:rPr>
          <w:rFonts w:ascii="宋体" w:hAnsi="宋体" w:eastAsia="宋体" w:cs="宋体"/>
          <w:sz w:val="28"/>
          <w:szCs w:val="28"/>
        </w:rPr>
      </w:pPr>
      <w:r>
        <w:rPr>
          <w:rFonts w:hint="eastAsia" w:ascii="宋体" w:hAnsi="宋体" w:eastAsia="宋体" w:cs="宋体"/>
          <w:sz w:val="28"/>
          <w:szCs w:val="28"/>
        </w:rPr>
        <w:t>3、标段划分：本工程为1标段。</w:t>
      </w:r>
    </w:p>
    <w:p w14:paraId="01118B82">
      <w:pPr>
        <w:spacing w:line="500" w:lineRule="exact"/>
        <w:rPr>
          <w:rFonts w:ascii="宋体" w:hAnsi="宋体" w:eastAsia="宋体" w:cs="宋体"/>
          <w:sz w:val="28"/>
          <w:szCs w:val="28"/>
        </w:rPr>
      </w:pPr>
      <w:r>
        <w:rPr>
          <w:rFonts w:hint="eastAsia" w:ascii="宋体" w:hAnsi="宋体" w:eastAsia="宋体" w:cs="宋体"/>
          <w:sz w:val="28"/>
          <w:szCs w:val="28"/>
        </w:rPr>
        <w:t>4、本项目是否接受联合体投标：不接受。</w:t>
      </w:r>
    </w:p>
    <w:p w14:paraId="0823D195">
      <w:pPr>
        <w:spacing w:line="500" w:lineRule="exact"/>
        <w:rPr>
          <w:rFonts w:ascii="宋体" w:hAnsi="宋体" w:eastAsia="宋体" w:cs="宋体"/>
          <w:b/>
          <w:sz w:val="28"/>
          <w:szCs w:val="28"/>
        </w:rPr>
      </w:pPr>
      <w:r>
        <w:rPr>
          <w:rFonts w:hint="eastAsia" w:ascii="宋体" w:hAnsi="宋体" w:eastAsia="宋体" w:cs="宋体"/>
          <w:b/>
          <w:sz w:val="28"/>
          <w:szCs w:val="28"/>
        </w:rPr>
        <w:t>5、投标报价：本次劳务报价按一个平方多少钱报价，平方米按实结算。</w:t>
      </w:r>
    </w:p>
    <w:p w14:paraId="7DEC4EAE">
      <w:pPr>
        <w:spacing w:line="500" w:lineRule="exact"/>
        <w:rPr>
          <w:rFonts w:ascii="宋体" w:hAnsi="宋体" w:eastAsia="宋体" w:cs="宋体"/>
          <w:b/>
          <w:bCs/>
          <w:sz w:val="28"/>
          <w:szCs w:val="28"/>
        </w:rPr>
      </w:pPr>
      <w:r>
        <w:rPr>
          <w:rFonts w:hint="eastAsia" w:ascii="宋体" w:hAnsi="宋体" w:eastAsia="宋体" w:cs="宋体"/>
          <w:b/>
          <w:bCs/>
          <w:sz w:val="28"/>
          <w:szCs w:val="28"/>
        </w:rPr>
        <w:t>四、投标人资格要求：</w:t>
      </w:r>
    </w:p>
    <w:p w14:paraId="375DD46C">
      <w:pPr>
        <w:spacing w:line="500" w:lineRule="exact"/>
        <w:rPr>
          <w:rFonts w:ascii="宋体" w:hAnsi="宋体" w:eastAsia="宋体" w:cs="宋体"/>
          <w:sz w:val="28"/>
          <w:szCs w:val="28"/>
        </w:rPr>
      </w:pPr>
      <w:r>
        <w:rPr>
          <w:rFonts w:hint="eastAsia" w:ascii="宋体" w:hAnsi="宋体" w:eastAsia="宋体" w:cs="宋体"/>
          <w:sz w:val="28"/>
          <w:szCs w:val="28"/>
        </w:rPr>
        <w:t xml:space="preserve">投标人应同时具备下列条件，在资格审查中必须全部满足： </w:t>
      </w:r>
    </w:p>
    <w:p w14:paraId="7CCF84D3">
      <w:pPr>
        <w:pStyle w:val="14"/>
        <w:numPr>
          <w:ilvl w:val="0"/>
          <w:numId w:val="2"/>
        </w:numPr>
        <w:spacing w:line="500" w:lineRule="exact"/>
        <w:ind w:firstLineChars="0"/>
        <w:rPr>
          <w:rFonts w:ascii="宋体" w:hAnsi="宋体" w:eastAsia="宋体" w:cs="宋体"/>
          <w:sz w:val="28"/>
          <w:szCs w:val="28"/>
        </w:rPr>
      </w:pPr>
      <w:r>
        <w:rPr>
          <w:rFonts w:hint="eastAsia" w:ascii="宋体" w:hAnsi="宋体" w:eastAsia="宋体" w:cs="宋体"/>
          <w:sz w:val="28"/>
          <w:szCs w:val="28"/>
        </w:rPr>
        <w:t>法人资格要求：独立法人、有效营业执照及基本户证明文件。</w:t>
      </w:r>
    </w:p>
    <w:p w14:paraId="649947EA">
      <w:pPr>
        <w:spacing w:line="500" w:lineRule="exact"/>
        <w:rPr>
          <w:rFonts w:ascii="宋体" w:hAnsi="宋体" w:eastAsia="宋体" w:cs="宋体"/>
          <w:sz w:val="28"/>
          <w:szCs w:val="28"/>
        </w:rPr>
      </w:pPr>
      <w:r>
        <w:rPr>
          <w:rFonts w:hint="eastAsia" w:ascii="宋体" w:hAnsi="宋体" w:eastAsia="宋体" w:cs="宋体"/>
          <w:sz w:val="28"/>
          <w:szCs w:val="28"/>
        </w:rPr>
        <w:t> 2、投标人不得存在下列情形之一：</w:t>
      </w:r>
    </w:p>
    <w:p w14:paraId="699C9B77">
      <w:pPr>
        <w:spacing w:line="500" w:lineRule="exact"/>
        <w:rPr>
          <w:rFonts w:ascii="宋体" w:hAnsi="宋体" w:eastAsia="宋体" w:cs="宋体"/>
          <w:sz w:val="28"/>
          <w:szCs w:val="28"/>
        </w:rPr>
      </w:pPr>
      <w:r>
        <w:rPr>
          <w:rFonts w:hint="eastAsia" w:ascii="宋体" w:hAnsi="宋体" w:eastAsia="宋体" w:cs="宋体"/>
          <w:sz w:val="28"/>
          <w:szCs w:val="28"/>
        </w:rPr>
        <w:t>（1）处于被责令停产停业、暂扣或者吊销执照、暂扣或者吊销许可证、吊销资质证书状态。</w:t>
      </w:r>
    </w:p>
    <w:p w14:paraId="3A5758AC">
      <w:pPr>
        <w:spacing w:line="500" w:lineRule="exact"/>
        <w:rPr>
          <w:rFonts w:ascii="宋体" w:hAnsi="宋体" w:eastAsia="宋体" w:cs="宋体"/>
          <w:sz w:val="28"/>
          <w:szCs w:val="28"/>
        </w:rPr>
      </w:pPr>
      <w:r>
        <w:rPr>
          <w:rFonts w:hint="eastAsia" w:ascii="宋体" w:hAnsi="宋体" w:eastAsia="宋体" w:cs="宋体"/>
          <w:sz w:val="28"/>
          <w:szCs w:val="28"/>
        </w:rPr>
        <w:t>（2）进入清算程序，或被宣告破产，或其他丧失履约能力的情形。 </w:t>
      </w:r>
    </w:p>
    <w:p w14:paraId="7875DADE">
      <w:pPr>
        <w:spacing w:line="500" w:lineRule="exact"/>
        <w:rPr>
          <w:rFonts w:ascii="宋体" w:hAnsi="宋体" w:eastAsia="宋体" w:cs="宋体"/>
          <w:sz w:val="28"/>
          <w:szCs w:val="28"/>
        </w:rPr>
      </w:pPr>
      <w:r>
        <w:rPr>
          <w:rFonts w:hint="eastAsia" w:ascii="宋体" w:hAnsi="宋体" w:eastAsia="宋体" w:cs="宋体"/>
          <w:b/>
          <w:bCs/>
          <w:sz w:val="28"/>
          <w:szCs w:val="28"/>
        </w:rPr>
        <w:t>五、资格审查方式：</w:t>
      </w:r>
      <w:r>
        <w:rPr>
          <w:rFonts w:hint="eastAsia" w:ascii="宋体" w:hAnsi="宋体" w:eastAsia="宋体" w:cs="宋体"/>
          <w:sz w:val="28"/>
          <w:szCs w:val="28"/>
        </w:rPr>
        <w:t>本工程对报价单位的资格审查采用资格先审。投标单位于2024年10月8日16时前提交资格审查文件，逾期提交拒收。招标单位对所有资格文件进行资格审查，只有通过资格审查的投标人方可进行投标报价。开标现场对投标单位的资格进行复查，不符合要求的，退回投标文件。资格审查文件提交地点：桐城经开区建设投资集团有限公司五楼招投标办公室。联系人：胡先生13865108771。</w:t>
      </w:r>
    </w:p>
    <w:p w14:paraId="3F30B4A4">
      <w:pPr>
        <w:spacing w:line="500" w:lineRule="exact"/>
        <w:rPr>
          <w:rFonts w:ascii="宋体" w:hAnsi="宋体" w:eastAsia="宋体" w:cs="宋体"/>
          <w:b/>
          <w:bCs/>
          <w:sz w:val="28"/>
          <w:szCs w:val="28"/>
        </w:rPr>
      </w:pPr>
      <w:r>
        <w:rPr>
          <w:rFonts w:hint="eastAsia" w:ascii="宋体" w:hAnsi="宋体" w:eastAsia="宋体" w:cs="宋体"/>
          <w:b/>
          <w:bCs/>
          <w:sz w:val="28"/>
          <w:szCs w:val="28"/>
        </w:rPr>
        <w:t>六、无效投标的情形：</w:t>
      </w:r>
    </w:p>
    <w:p w14:paraId="18C76D5E">
      <w:pPr>
        <w:spacing w:line="500" w:lineRule="exact"/>
        <w:rPr>
          <w:rFonts w:ascii="宋体" w:hAnsi="宋体" w:eastAsia="宋体" w:cs="宋体"/>
          <w:sz w:val="28"/>
          <w:szCs w:val="28"/>
        </w:rPr>
      </w:pPr>
      <w:r>
        <w:rPr>
          <w:rFonts w:hint="eastAsia" w:ascii="宋体" w:hAnsi="宋体" w:eastAsia="宋体" w:cs="宋体"/>
          <w:sz w:val="28"/>
          <w:szCs w:val="28"/>
        </w:rPr>
        <w:t>1．未能提供合格的资格文件；</w:t>
      </w:r>
    </w:p>
    <w:p w14:paraId="316E986A">
      <w:pPr>
        <w:spacing w:line="500" w:lineRule="exact"/>
        <w:rPr>
          <w:rFonts w:ascii="宋体" w:hAnsi="宋体" w:eastAsia="宋体" w:cs="宋体"/>
          <w:sz w:val="28"/>
          <w:szCs w:val="28"/>
        </w:rPr>
      </w:pPr>
      <w:r>
        <w:rPr>
          <w:rFonts w:hint="eastAsia" w:ascii="宋体" w:hAnsi="宋体" w:eastAsia="宋体" w:cs="宋体"/>
          <w:sz w:val="28"/>
          <w:szCs w:val="28"/>
        </w:rPr>
        <w:t>2．投标人未对招标文件内所要招标内容进行报价的；</w:t>
      </w:r>
    </w:p>
    <w:p w14:paraId="61CCFF71">
      <w:pPr>
        <w:spacing w:line="500" w:lineRule="exact"/>
        <w:rPr>
          <w:rFonts w:ascii="宋体" w:hAnsi="宋体" w:eastAsia="宋体" w:cs="宋体"/>
          <w:sz w:val="28"/>
          <w:szCs w:val="28"/>
        </w:rPr>
      </w:pPr>
      <w:r>
        <w:rPr>
          <w:rFonts w:hint="eastAsia" w:ascii="宋体" w:hAnsi="宋体" w:eastAsia="宋体" w:cs="宋体"/>
          <w:sz w:val="28"/>
          <w:szCs w:val="28"/>
        </w:rPr>
        <w:t>3．与招标文件有重大偏离的或未能实质性响应技术要求的；</w:t>
      </w:r>
    </w:p>
    <w:p w14:paraId="3768B522">
      <w:pPr>
        <w:spacing w:line="500" w:lineRule="exact"/>
        <w:rPr>
          <w:rFonts w:ascii="宋体" w:hAnsi="宋体" w:eastAsia="宋体" w:cs="宋体"/>
          <w:sz w:val="28"/>
          <w:szCs w:val="28"/>
        </w:rPr>
      </w:pPr>
      <w:r>
        <w:rPr>
          <w:rFonts w:hint="eastAsia" w:ascii="宋体" w:hAnsi="宋体" w:eastAsia="宋体" w:cs="宋体"/>
          <w:sz w:val="28"/>
          <w:szCs w:val="28"/>
        </w:rPr>
        <w:t>4．投标人在投标活动中提供任何虚假材料或从事其他违法活动的；</w:t>
      </w:r>
    </w:p>
    <w:p w14:paraId="6C467AC4">
      <w:pPr>
        <w:spacing w:line="500" w:lineRule="exact"/>
        <w:rPr>
          <w:rFonts w:ascii="宋体" w:hAnsi="宋体" w:eastAsia="宋体" w:cs="宋体"/>
          <w:sz w:val="28"/>
          <w:szCs w:val="28"/>
        </w:rPr>
      </w:pPr>
      <w:r>
        <w:rPr>
          <w:rFonts w:hint="eastAsia" w:ascii="宋体" w:hAnsi="宋体" w:eastAsia="宋体" w:cs="宋体"/>
          <w:sz w:val="28"/>
          <w:szCs w:val="28"/>
        </w:rPr>
        <w:t>5．评标委员会认为其他不合理情况的；</w:t>
      </w:r>
    </w:p>
    <w:p w14:paraId="4CAAD494">
      <w:pPr>
        <w:spacing w:line="500" w:lineRule="exact"/>
        <w:rPr>
          <w:rFonts w:ascii="宋体" w:hAnsi="宋体" w:eastAsia="宋体" w:cs="宋体"/>
          <w:sz w:val="28"/>
          <w:szCs w:val="28"/>
        </w:rPr>
      </w:pPr>
      <w:r>
        <w:rPr>
          <w:rFonts w:hint="eastAsia" w:ascii="宋体" w:hAnsi="宋体" w:eastAsia="宋体" w:cs="宋体"/>
          <w:sz w:val="28"/>
          <w:szCs w:val="28"/>
        </w:rPr>
        <w:t>6．不符合法律、法规和本招标文件规定的其他实质性要求的。</w:t>
      </w:r>
    </w:p>
    <w:p w14:paraId="0A4EC584">
      <w:pPr>
        <w:spacing w:line="500" w:lineRule="exact"/>
        <w:rPr>
          <w:rFonts w:ascii="宋体" w:hAnsi="宋体" w:eastAsia="宋体" w:cs="宋体"/>
          <w:sz w:val="28"/>
          <w:szCs w:val="28"/>
        </w:rPr>
      </w:pPr>
      <w:r>
        <w:rPr>
          <w:rFonts w:hint="eastAsia" w:ascii="宋体" w:hAnsi="宋体" w:eastAsia="宋体" w:cs="宋体"/>
          <w:b/>
          <w:bCs/>
          <w:sz w:val="28"/>
          <w:szCs w:val="28"/>
        </w:rPr>
        <w:t>七、招标方式：</w:t>
      </w:r>
      <w:r>
        <w:rPr>
          <w:rFonts w:hint="eastAsia" w:ascii="宋体" w:hAnsi="宋体" w:eastAsia="宋体" w:cs="宋体"/>
          <w:sz w:val="28"/>
          <w:szCs w:val="28"/>
        </w:rPr>
        <w:t>公开招标。</w:t>
      </w:r>
    </w:p>
    <w:p w14:paraId="52654E13">
      <w:pPr>
        <w:spacing w:line="500" w:lineRule="exact"/>
        <w:rPr>
          <w:rFonts w:ascii="宋体" w:hAnsi="宋体" w:eastAsia="宋体" w:cs="宋体"/>
          <w:sz w:val="28"/>
          <w:szCs w:val="28"/>
        </w:rPr>
      </w:pPr>
      <w:r>
        <w:rPr>
          <w:rFonts w:hint="eastAsia" w:ascii="宋体" w:hAnsi="宋体" w:eastAsia="宋体" w:cs="宋体"/>
          <w:b/>
          <w:bCs/>
          <w:sz w:val="28"/>
          <w:szCs w:val="28"/>
        </w:rPr>
        <w:t>八、质量标准：</w:t>
      </w:r>
      <w:r>
        <w:rPr>
          <w:rFonts w:hint="eastAsia" w:ascii="宋体" w:hAnsi="宋体" w:eastAsia="宋体" w:cs="宋体"/>
          <w:sz w:val="28"/>
          <w:szCs w:val="28"/>
        </w:rPr>
        <w:t>合格。</w:t>
      </w:r>
    </w:p>
    <w:p w14:paraId="6CD4274A">
      <w:pPr>
        <w:spacing w:line="500" w:lineRule="exact"/>
        <w:rPr>
          <w:rFonts w:ascii="宋体" w:hAnsi="宋体" w:eastAsia="宋体" w:cs="宋体"/>
          <w:sz w:val="28"/>
          <w:szCs w:val="28"/>
        </w:rPr>
      </w:pPr>
      <w:r>
        <w:rPr>
          <w:rFonts w:hint="eastAsia" w:ascii="宋体" w:hAnsi="宋体" w:eastAsia="宋体" w:cs="宋体"/>
          <w:b/>
          <w:bCs/>
          <w:sz w:val="28"/>
          <w:szCs w:val="28"/>
        </w:rPr>
        <w:t>九、工程工期：</w:t>
      </w:r>
      <w:r>
        <w:rPr>
          <w:rFonts w:hint="eastAsia" w:ascii="宋体" w:hAnsi="宋体" w:eastAsia="宋体" w:cs="宋体"/>
          <w:sz w:val="28"/>
          <w:szCs w:val="28"/>
        </w:rPr>
        <w:t>中标单位确定后3个工作日进场施工，总工期</w:t>
      </w:r>
      <w:r>
        <w:rPr>
          <w:rFonts w:hint="eastAsia" w:ascii="宋体" w:hAnsi="宋体" w:eastAsia="宋体" w:cs="宋体"/>
          <w:sz w:val="28"/>
          <w:szCs w:val="28"/>
          <w:u w:val="single"/>
        </w:rPr>
        <w:t xml:space="preserve"> 15 </w:t>
      </w:r>
      <w:r>
        <w:rPr>
          <w:rFonts w:hint="eastAsia" w:ascii="宋体" w:hAnsi="宋体" w:eastAsia="宋体" w:cs="宋体"/>
          <w:sz w:val="28"/>
          <w:szCs w:val="28"/>
        </w:rPr>
        <w:t>天（含验收）。</w:t>
      </w:r>
    </w:p>
    <w:p w14:paraId="1E662376">
      <w:pPr>
        <w:spacing w:line="500" w:lineRule="exact"/>
        <w:rPr>
          <w:rFonts w:ascii="宋体" w:hAnsi="宋体" w:eastAsia="宋体" w:cs="宋体"/>
          <w:sz w:val="28"/>
          <w:szCs w:val="28"/>
        </w:rPr>
      </w:pPr>
      <w:r>
        <w:rPr>
          <w:rFonts w:hint="eastAsia" w:ascii="宋体" w:hAnsi="宋体" w:eastAsia="宋体" w:cs="宋体"/>
          <w:b/>
          <w:bCs/>
          <w:sz w:val="28"/>
          <w:szCs w:val="28"/>
        </w:rPr>
        <w:t>十、付款方式：</w:t>
      </w:r>
      <w:r>
        <w:rPr>
          <w:rFonts w:hint="eastAsia" w:ascii="宋体" w:hAnsi="宋体" w:eastAsia="宋体" w:cs="宋体"/>
          <w:sz w:val="28"/>
          <w:szCs w:val="28"/>
        </w:rPr>
        <w:t>所有工程施工结束并经验收合格支付实际施工工程价款85%，决算审计完成后付至审计价款97%，余款3%转为质量保证金，满一年后退还（保证金不计息）。</w:t>
      </w:r>
    </w:p>
    <w:p w14:paraId="74C69176">
      <w:pPr>
        <w:spacing w:line="500" w:lineRule="exact"/>
        <w:rPr>
          <w:rFonts w:ascii="宋体" w:hAnsi="宋体" w:eastAsia="宋体" w:cs="宋体"/>
          <w:sz w:val="28"/>
          <w:szCs w:val="28"/>
        </w:rPr>
      </w:pPr>
      <w:r>
        <w:rPr>
          <w:rFonts w:hint="eastAsia" w:ascii="宋体" w:hAnsi="宋体" w:eastAsia="宋体" w:cs="宋体"/>
          <w:b/>
          <w:bCs/>
          <w:sz w:val="28"/>
          <w:szCs w:val="28"/>
        </w:rPr>
        <w:t>十一、税金：</w:t>
      </w:r>
      <w:r>
        <w:rPr>
          <w:rFonts w:ascii="Arial" w:hAnsi="Arial" w:eastAsia="宋体" w:cs="Arial"/>
          <w:sz w:val="28"/>
          <w:szCs w:val="28"/>
        </w:rPr>
        <w:t>按财务制度执行。</w:t>
      </w:r>
    </w:p>
    <w:p w14:paraId="0F7CE1C2">
      <w:pPr>
        <w:spacing w:line="500" w:lineRule="exact"/>
        <w:rPr>
          <w:rFonts w:ascii="宋体" w:hAnsi="宋体" w:eastAsia="宋体" w:cs="宋体"/>
          <w:b/>
          <w:bCs/>
          <w:sz w:val="28"/>
          <w:szCs w:val="28"/>
        </w:rPr>
      </w:pPr>
      <w:r>
        <w:rPr>
          <w:rFonts w:hint="eastAsia" w:ascii="宋体" w:hAnsi="宋体" w:eastAsia="宋体" w:cs="宋体"/>
          <w:b/>
          <w:bCs/>
          <w:sz w:val="28"/>
          <w:szCs w:val="28"/>
        </w:rPr>
        <w:t>十二、投标报名及招标文件的获取：</w:t>
      </w:r>
    </w:p>
    <w:p w14:paraId="54C94362">
      <w:pPr>
        <w:spacing w:line="500" w:lineRule="exact"/>
        <w:rPr>
          <w:rFonts w:ascii="宋体" w:hAnsi="宋体" w:eastAsia="宋体" w:cs="宋体"/>
          <w:sz w:val="28"/>
          <w:szCs w:val="28"/>
        </w:rPr>
      </w:pPr>
      <w:r>
        <w:rPr>
          <w:rFonts w:hint="eastAsia" w:ascii="宋体" w:hAnsi="宋体" w:eastAsia="宋体" w:cs="宋体"/>
          <w:sz w:val="28"/>
          <w:szCs w:val="28"/>
        </w:rPr>
        <w:t>1、凡有意参加投标并符合资格要求投标单位，请于2024年9月30日至2024年10月9日自行在桐城经开区建设投资集团有限公司网站下载。具体流程如下：登陆桐城经开区建设投资集团有限公司网站（</w:t>
      </w:r>
      <w:r>
        <w:fldChar w:fldCharType="begin"/>
      </w:r>
      <w:r>
        <w:instrText xml:space="preserve"> HYPERLINK "http://tc-house.com.cn/zhaobiao" </w:instrText>
      </w:r>
      <w:r>
        <w:fldChar w:fldCharType="separate"/>
      </w:r>
      <w:r>
        <w:rPr>
          <w:rStyle w:val="10"/>
          <w:rFonts w:hint="eastAsia" w:ascii="宋体" w:hAnsi="宋体" w:eastAsia="宋体" w:cs="宋体"/>
          <w:color w:val="auto"/>
          <w:sz w:val="28"/>
          <w:szCs w:val="28"/>
          <w:u w:val="none"/>
        </w:rPr>
        <w:t>http://tc-house.com.cn/zhaobiao</w:t>
      </w:r>
      <w:r>
        <w:rPr>
          <w:rStyle w:val="10"/>
          <w:rFonts w:hint="eastAsia" w:ascii="宋体" w:hAnsi="宋体" w:eastAsia="宋体" w:cs="宋体"/>
          <w:color w:val="auto"/>
          <w:sz w:val="28"/>
          <w:szCs w:val="28"/>
          <w:u w:val="none"/>
        </w:rPr>
        <w:fldChar w:fldCharType="end"/>
      </w:r>
      <w:r>
        <w:rPr>
          <w:rFonts w:hint="eastAsia" w:ascii="宋体" w:hAnsi="宋体" w:eastAsia="宋体" w:cs="宋体"/>
          <w:sz w:val="28"/>
          <w:szCs w:val="28"/>
        </w:rPr>
        <w:t>），进入“招标采购项目”模块，下载招标文件进行线下投标。</w:t>
      </w:r>
    </w:p>
    <w:p w14:paraId="136221D5">
      <w:pPr>
        <w:spacing w:line="500" w:lineRule="exact"/>
        <w:rPr>
          <w:rFonts w:ascii="宋体" w:hAnsi="宋体" w:eastAsia="宋体" w:cs="宋体"/>
          <w:sz w:val="28"/>
          <w:szCs w:val="28"/>
        </w:rPr>
      </w:pPr>
      <w:r>
        <w:rPr>
          <w:rFonts w:hint="eastAsia" w:ascii="宋体" w:hAnsi="宋体" w:eastAsia="宋体" w:cs="宋体"/>
          <w:sz w:val="28"/>
          <w:szCs w:val="28"/>
        </w:rPr>
        <w:t>2、如有招标答疑、补遗、澄清或修改，招标人将于招标文件规定的时间在桐城经开区建设投资集团有限公司网站补遗澄清栏发布，请投标人在开标前自行查阅并下载打印装订在投标文件中，否则所造成的一切后果包括但不限于作无效标处理等，由投标人自行承担。</w:t>
      </w:r>
    </w:p>
    <w:p w14:paraId="1C9F607B">
      <w:pPr>
        <w:spacing w:line="500" w:lineRule="exact"/>
        <w:rPr>
          <w:rFonts w:ascii="宋体" w:hAnsi="宋体" w:eastAsia="宋体" w:cs="宋体"/>
          <w:sz w:val="28"/>
          <w:szCs w:val="28"/>
        </w:rPr>
      </w:pPr>
      <w:r>
        <w:rPr>
          <w:rFonts w:hint="eastAsia" w:ascii="宋体" w:hAnsi="宋体" w:eastAsia="宋体" w:cs="宋体"/>
          <w:b/>
          <w:bCs/>
          <w:sz w:val="28"/>
          <w:szCs w:val="28"/>
        </w:rPr>
        <w:t>十三、投标保证金及退还：</w:t>
      </w:r>
      <w:r>
        <w:rPr>
          <w:rFonts w:hint="eastAsia" w:ascii="宋体" w:hAnsi="宋体" w:eastAsia="宋体" w:cs="宋体"/>
          <w:sz w:val="28"/>
          <w:szCs w:val="28"/>
        </w:rPr>
        <w:t>人民币壹万元整（￥10000.00元），投标人在报价截止时间前须将保证金从投标人账户缴至桐城市天正控股集团有限公司账户，不得从其他账户转入（转帐时须备注项目名称）。保证金须在报价截止时间前到达指定账户，否则不接收投标文件。未中标的投标保证金一星期内退还（不计息）。</w:t>
      </w:r>
    </w:p>
    <w:p w14:paraId="5FF4C9FB">
      <w:pPr>
        <w:spacing w:line="500" w:lineRule="exact"/>
        <w:rPr>
          <w:rFonts w:ascii="宋体" w:hAnsi="宋体" w:eastAsia="宋体" w:cs="宋体"/>
          <w:sz w:val="28"/>
          <w:szCs w:val="28"/>
        </w:rPr>
      </w:pPr>
      <w:r>
        <w:rPr>
          <w:rFonts w:hint="eastAsia" w:ascii="宋体" w:hAnsi="宋体" w:eastAsia="宋体" w:cs="宋体"/>
          <w:sz w:val="28"/>
          <w:szCs w:val="28"/>
        </w:rPr>
        <w:t xml:space="preserve">收款人名称：桐城市天正控股集团有限公司  </w:t>
      </w:r>
    </w:p>
    <w:p w14:paraId="1E92F17A">
      <w:pPr>
        <w:spacing w:line="500" w:lineRule="exact"/>
        <w:rPr>
          <w:rFonts w:ascii="宋体" w:hAnsi="宋体" w:eastAsia="宋体" w:cs="宋体"/>
          <w:sz w:val="28"/>
          <w:szCs w:val="28"/>
        </w:rPr>
      </w:pPr>
      <w:r>
        <w:rPr>
          <w:rFonts w:hint="eastAsia" w:ascii="宋体" w:hAnsi="宋体" w:eastAsia="宋体" w:cs="宋体"/>
          <w:sz w:val="28"/>
          <w:szCs w:val="28"/>
        </w:rPr>
        <w:t>开户银行：安徽桐城农村商业银行股份有限公司文都支行</w:t>
      </w:r>
    </w:p>
    <w:p w14:paraId="208D60A9">
      <w:pPr>
        <w:spacing w:line="500" w:lineRule="exact"/>
        <w:rPr>
          <w:rFonts w:ascii="宋体" w:hAnsi="宋体" w:eastAsia="宋体" w:cs="宋体"/>
          <w:sz w:val="28"/>
          <w:szCs w:val="28"/>
        </w:rPr>
      </w:pPr>
      <w:r>
        <w:rPr>
          <w:rFonts w:hint="eastAsia" w:ascii="宋体" w:hAnsi="宋体" w:eastAsia="宋体" w:cs="宋体"/>
          <w:sz w:val="28"/>
          <w:szCs w:val="28"/>
        </w:rPr>
        <w:t>账  号：20000211916010300000059</w:t>
      </w:r>
    </w:p>
    <w:p w14:paraId="363F61C4">
      <w:pPr>
        <w:spacing w:line="500" w:lineRule="exact"/>
        <w:rPr>
          <w:rFonts w:ascii="宋体" w:hAnsi="宋体" w:eastAsia="宋体" w:cs="宋体"/>
          <w:sz w:val="28"/>
          <w:szCs w:val="28"/>
        </w:rPr>
      </w:pPr>
      <w:r>
        <w:rPr>
          <w:rFonts w:hint="eastAsia" w:ascii="宋体" w:hAnsi="宋体" w:eastAsia="宋体" w:cs="宋体"/>
          <w:b/>
          <w:bCs/>
          <w:sz w:val="28"/>
          <w:szCs w:val="28"/>
        </w:rPr>
        <w:t>十四、履约保证金及退还：</w:t>
      </w:r>
      <w:r>
        <w:rPr>
          <w:rFonts w:hint="eastAsia" w:ascii="宋体" w:hAnsi="宋体" w:eastAsia="宋体" w:cs="宋体"/>
          <w:sz w:val="28"/>
          <w:szCs w:val="28"/>
        </w:rPr>
        <w:t>履约保证金为人民币壹万元整（10000.00元）,可以以现金或保函形式缴纳。中标单位投标保证金自动转为履约保证金，差额部分开标三个工作日补齐。工程竣工验收合格后一次性退还（不计息）。</w:t>
      </w:r>
    </w:p>
    <w:p w14:paraId="3740362A">
      <w:pPr>
        <w:spacing w:line="500" w:lineRule="exact"/>
        <w:rPr>
          <w:rFonts w:ascii="宋体" w:hAnsi="宋体" w:eastAsia="宋体" w:cs="宋体"/>
          <w:sz w:val="28"/>
          <w:szCs w:val="28"/>
        </w:rPr>
      </w:pPr>
      <w:r>
        <w:rPr>
          <w:rFonts w:hint="eastAsia" w:ascii="宋体" w:hAnsi="宋体" w:eastAsia="宋体" w:cs="宋体"/>
          <w:b/>
          <w:bCs/>
          <w:sz w:val="28"/>
          <w:szCs w:val="28"/>
        </w:rPr>
        <w:t>十五、投标文件编制、投标截止时间及提交地点：</w:t>
      </w:r>
      <w:r>
        <w:rPr>
          <w:rFonts w:hint="eastAsia" w:ascii="宋体" w:hAnsi="宋体" w:eastAsia="宋体" w:cs="宋体"/>
          <w:sz w:val="28"/>
          <w:szCs w:val="28"/>
        </w:rPr>
        <w:t>投标文件应于2024 年10月9日下午15时前提交至</w:t>
      </w:r>
      <w:r>
        <w:rPr>
          <w:rFonts w:hint="eastAsia" w:ascii="宋体" w:hAnsi="宋体" w:eastAsia="宋体" w:cs="宋体"/>
          <w:color w:val="000000"/>
          <w:sz w:val="28"/>
          <w:szCs w:val="28"/>
        </w:rPr>
        <w:t>桐城经开区建投集团五楼招投标办公室，</w:t>
      </w:r>
      <w:r>
        <w:rPr>
          <w:rFonts w:hint="eastAsia" w:ascii="宋体" w:hAnsi="宋体" w:eastAsia="宋体" w:cs="宋体"/>
          <w:sz w:val="28"/>
          <w:szCs w:val="28"/>
        </w:rPr>
        <w:t>逾期送达的或不符合规定的投标文件将被拒绝。</w:t>
      </w:r>
    </w:p>
    <w:p w14:paraId="5312ACFB">
      <w:pPr>
        <w:spacing w:line="500" w:lineRule="exact"/>
        <w:rPr>
          <w:rFonts w:ascii="宋体" w:hAnsi="宋体" w:eastAsia="宋体" w:cs="宋体"/>
          <w:sz w:val="28"/>
          <w:szCs w:val="28"/>
        </w:rPr>
      </w:pPr>
      <w:r>
        <w:rPr>
          <w:rFonts w:hint="eastAsia" w:ascii="宋体" w:hAnsi="宋体" w:eastAsia="宋体" w:cs="宋体"/>
          <w:b/>
          <w:bCs/>
          <w:sz w:val="28"/>
          <w:szCs w:val="28"/>
        </w:rPr>
        <w:t>十六、开标时间及地点：</w:t>
      </w:r>
      <w:r>
        <w:rPr>
          <w:rFonts w:hint="eastAsia" w:ascii="宋体" w:hAnsi="宋体" w:eastAsia="宋体" w:cs="宋体"/>
          <w:sz w:val="28"/>
          <w:szCs w:val="28"/>
        </w:rPr>
        <w:t>投标文件提交截止时间的同一时间在桐城经开区建投集团五楼招投标办公室进行开标。</w:t>
      </w:r>
    </w:p>
    <w:p w14:paraId="7AECD4D9">
      <w:pPr>
        <w:spacing w:line="500" w:lineRule="exact"/>
        <w:rPr>
          <w:rFonts w:ascii="宋体" w:hAnsi="宋体" w:eastAsia="宋体" w:cs="宋体"/>
          <w:b/>
          <w:bCs/>
          <w:sz w:val="28"/>
          <w:szCs w:val="28"/>
        </w:rPr>
      </w:pPr>
      <w:r>
        <w:rPr>
          <w:rFonts w:hint="eastAsia" w:ascii="宋体" w:hAnsi="宋体" w:eastAsia="宋体" w:cs="宋体"/>
          <w:b/>
          <w:bCs/>
          <w:sz w:val="28"/>
          <w:szCs w:val="28"/>
        </w:rPr>
        <w:t>十七、评标方法：合理低价法。</w:t>
      </w:r>
    </w:p>
    <w:p w14:paraId="6AAC62CB">
      <w:pPr>
        <w:pStyle w:val="6"/>
        <w:shd w:val="clear" w:color="auto" w:fill="FFFFFF"/>
        <w:spacing w:before="0" w:beforeAutospacing="0" w:after="141" w:afterAutospacing="0" w:line="500" w:lineRule="exact"/>
        <w:ind w:firstLine="480"/>
        <w:rPr>
          <w:rFonts w:ascii="黑体" w:hAnsi="黑体" w:eastAsia="黑体" w:cs="黑体"/>
          <w:b/>
          <w:sz w:val="28"/>
          <w:szCs w:val="28"/>
        </w:rPr>
      </w:pPr>
      <w:r>
        <w:rPr>
          <w:rFonts w:hint="eastAsia" w:ascii="黑体" w:hAnsi="黑体" w:eastAsia="黑体" w:cs="黑体"/>
          <w:b/>
          <w:sz w:val="28"/>
          <w:szCs w:val="28"/>
        </w:rPr>
        <w:t>本次招标采用三轮报价竞价方式进行，第二轮有效报价为低于第一轮最低报价，超过第一轮最低报价的均为无效报价；第三轮有效报价为低于第二轮最低报价，超过第二轮最低报价的均为无效报价。第三轮报价结束，报价最低、且低于招标单位设置底价的投标人为中标候选人。</w:t>
      </w:r>
    </w:p>
    <w:p w14:paraId="5CAF4580">
      <w:pPr>
        <w:spacing w:line="500" w:lineRule="exact"/>
        <w:ind w:firstLine="560" w:firstLineChars="200"/>
        <w:rPr>
          <w:rFonts w:ascii="宋体" w:hAnsi="宋体" w:eastAsia="宋体" w:cs="宋体"/>
          <w:sz w:val="28"/>
          <w:szCs w:val="28"/>
        </w:rPr>
      </w:pPr>
      <w:r>
        <w:rPr>
          <w:rFonts w:hint="eastAsia" w:ascii="宋体" w:hAnsi="宋体" w:eastAsia="宋体" w:cs="宋体"/>
          <w:sz w:val="28"/>
          <w:szCs w:val="28"/>
        </w:rPr>
        <w:t>评标办法：本次招标评标委员会成员由桐城经开区建设投资集团有限公司招投标领导小组成员组成，评标委员会对中标候选人的经济基础、组织管理协调能力、施工经验等各项因素进行综合考虑，确定中标人候选人，报集团公司党委会批准后正式确定为中标人。对未中标候选人不作解释。</w:t>
      </w:r>
    </w:p>
    <w:p w14:paraId="01B998F7">
      <w:pPr>
        <w:spacing w:line="500" w:lineRule="exact"/>
        <w:ind w:firstLine="560" w:firstLineChars="200"/>
        <w:rPr>
          <w:rFonts w:ascii="宋体" w:hAnsi="宋体" w:eastAsia="宋体" w:cs="宋体"/>
          <w:sz w:val="28"/>
          <w:szCs w:val="28"/>
        </w:rPr>
      </w:pPr>
      <w:r>
        <w:rPr>
          <w:rFonts w:hint="eastAsia" w:ascii="宋体" w:hAnsi="宋体" w:eastAsia="宋体" w:cs="宋体"/>
          <w:sz w:val="28"/>
          <w:szCs w:val="28"/>
        </w:rPr>
        <w:t>中标条件：1、中标候选人投标报价低于招标单位设置的底价；2、中标人必须具有良好的经济基础、丰富施工经验及较强施工组织管理能力；3、中标人的报价为合理低价；4、按照“谁施工、谁负责验收移交”原则，中标单位必须承诺在规定的时间内通过相关主管部门验收并承担由此而发生的一切费用；</w:t>
      </w:r>
    </w:p>
    <w:p w14:paraId="4A9D756B">
      <w:pPr>
        <w:spacing w:line="500" w:lineRule="exact"/>
        <w:rPr>
          <w:rFonts w:ascii="宋体" w:hAnsi="宋体" w:eastAsia="宋体" w:cs="宋体"/>
          <w:sz w:val="28"/>
          <w:szCs w:val="28"/>
        </w:rPr>
      </w:pPr>
      <w:r>
        <w:rPr>
          <w:rFonts w:hint="eastAsia" w:ascii="宋体" w:hAnsi="宋体" w:eastAsia="宋体" w:cs="宋体"/>
          <w:b/>
          <w:bCs/>
          <w:sz w:val="28"/>
          <w:szCs w:val="28"/>
        </w:rPr>
        <w:t>十八、投标文件编制格式：</w:t>
      </w:r>
      <w:r>
        <w:rPr>
          <w:rFonts w:hint="eastAsia" w:ascii="宋体" w:hAnsi="宋体" w:eastAsia="宋体" w:cs="宋体"/>
          <w:sz w:val="28"/>
          <w:szCs w:val="28"/>
        </w:rPr>
        <w:t>询价文件应包括报价报价一览表，独立法人、有效营业执照及基本户证明文件，相应资质证明，具体格式不作要求。</w:t>
      </w:r>
    </w:p>
    <w:p w14:paraId="081299F7">
      <w:pPr>
        <w:spacing w:line="500" w:lineRule="exact"/>
        <w:rPr>
          <w:rFonts w:ascii="宋体" w:hAnsi="宋体" w:eastAsia="宋体" w:cs="宋体"/>
          <w:sz w:val="28"/>
          <w:szCs w:val="28"/>
        </w:rPr>
      </w:pPr>
      <w:r>
        <w:rPr>
          <w:rFonts w:hint="eastAsia" w:ascii="宋体" w:hAnsi="宋体" w:eastAsia="宋体" w:cs="宋体"/>
          <w:b/>
          <w:bCs/>
          <w:sz w:val="28"/>
          <w:szCs w:val="28"/>
        </w:rPr>
        <w:t>十九、招标失败：</w:t>
      </w:r>
      <w:r>
        <w:rPr>
          <w:rFonts w:hint="eastAsia" w:ascii="宋体" w:hAnsi="宋体" w:eastAsia="宋体" w:cs="宋体"/>
          <w:sz w:val="28"/>
          <w:szCs w:val="28"/>
        </w:rPr>
        <w:t>符合投标条件的报价单位不足三家，桐城经开区建设投资集团有限公司招投标领导小组办公室则重新组织询价招标。</w:t>
      </w:r>
    </w:p>
    <w:p w14:paraId="17DEEF85">
      <w:pPr>
        <w:spacing w:line="500" w:lineRule="exact"/>
        <w:rPr>
          <w:rFonts w:ascii="宋体" w:hAnsi="宋体" w:eastAsia="宋体" w:cs="宋体"/>
        </w:rPr>
      </w:pPr>
      <w:r>
        <w:rPr>
          <w:rFonts w:hint="eastAsia" w:ascii="宋体" w:hAnsi="宋体" w:eastAsia="宋体" w:cs="宋体"/>
          <w:b/>
          <w:bCs/>
          <w:sz w:val="28"/>
          <w:szCs w:val="28"/>
        </w:rPr>
        <w:t>二十、信访投诉：</w:t>
      </w:r>
      <w:r>
        <w:rPr>
          <w:rFonts w:hint="eastAsia" w:ascii="宋体" w:hAnsi="宋体" w:eastAsia="宋体" w:cs="宋体"/>
          <w:sz w:val="28"/>
          <w:szCs w:val="28"/>
        </w:rPr>
        <w:t>本工程招投标过程中若发现违规违纪行为，请及时以书面（或电话）反馈至桐城经开区建设投资集团有限公司纪检组。联系人：陈先生；联系电话：13956533076；</w:t>
      </w:r>
    </w:p>
    <w:p w14:paraId="73659497">
      <w:pPr>
        <w:spacing w:line="500" w:lineRule="exact"/>
        <w:rPr>
          <w:rFonts w:ascii="宋体" w:hAnsi="宋体" w:eastAsia="宋体" w:cs="宋体"/>
          <w:sz w:val="28"/>
          <w:szCs w:val="28"/>
        </w:rPr>
      </w:pPr>
      <w:r>
        <w:rPr>
          <w:rFonts w:hint="eastAsia" w:ascii="宋体" w:hAnsi="宋体" w:eastAsia="宋体" w:cs="宋体"/>
        </w:rPr>
        <w:t>   </w:t>
      </w:r>
    </w:p>
    <w:p w14:paraId="09EB7755">
      <w:pPr>
        <w:spacing w:line="500" w:lineRule="exact"/>
        <w:jc w:val="right"/>
        <w:rPr>
          <w:rFonts w:ascii="宋体" w:hAnsi="宋体" w:eastAsia="宋体" w:cs="宋体"/>
          <w:sz w:val="28"/>
          <w:szCs w:val="28"/>
        </w:rPr>
      </w:pPr>
      <w:r>
        <w:rPr>
          <w:rFonts w:hint="eastAsia" w:ascii="宋体" w:hAnsi="宋体" w:eastAsia="宋体" w:cs="宋体"/>
          <w:sz w:val="28"/>
          <w:szCs w:val="28"/>
        </w:rPr>
        <w:t xml:space="preserve">  桐城天正控股集团有限公司</w:t>
      </w:r>
    </w:p>
    <w:p w14:paraId="27B3E722">
      <w:pPr>
        <w:spacing w:line="500" w:lineRule="exact"/>
        <w:jc w:val="center"/>
        <w:rPr>
          <w:rFonts w:ascii="宋体" w:hAnsi="宋体" w:eastAsia="宋体" w:cs="宋体"/>
          <w:sz w:val="28"/>
          <w:szCs w:val="28"/>
        </w:rPr>
      </w:pPr>
      <w:r>
        <w:rPr>
          <w:rFonts w:hint="eastAsia" w:ascii="宋体" w:hAnsi="宋体" w:eastAsia="宋体" w:cs="宋体"/>
          <w:sz w:val="28"/>
          <w:szCs w:val="28"/>
        </w:rPr>
        <w:t xml:space="preserve">                                2024年9月30日</w:t>
      </w:r>
    </w:p>
    <w:p w14:paraId="41E1AE27">
      <w:pPr>
        <w:pStyle w:val="2"/>
        <w:spacing w:line="440" w:lineRule="exact"/>
        <w:rPr>
          <w:rFonts w:hAnsi="宋体" w:eastAsia="宋体" w:cs="宋体"/>
          <w:bCs/>
          <w:color w:val="000000"/>
          <w:szCs w:val="28"/>
        </w:rPr>
      </w:pPr>
    </w:p>
    <w:p w14:paraId="593EE1AF">
      <w:pPr>
        <w:pStyle w:val="2"/>
        <w:spacing w:line="440" w:lineRule="exact"/>
        <w:ind w:left="1620" w:hanging="1620" w:hangingChars="450"/>
        <w:rPr>
          <w:rFonts w:ascii="仿宋_GB2312" w:hAnsi="仿宋_GB2312" w:eastAsia="仿宋_GB2312" w:cs="仿宋_GB2312"/>
          <w:bCs/>
          <w:color w:val="000000"/>
          <w:sz w:val="36"/>
          <w:szCs w:val="36"/>
        </w:rPr>
      </w:pPr>
    </w:p>
    <w:p w14:paraId="6489A1F1">
      <w:pPr>
        <w:spacing w:line="360" w:lineRule="auto"/>
        <w:rPr>
          <w:rFonts w:ascii="宋体" w:hAnsi="宋体"/>
          <w:b/>
          <w:sz w:val="36"/>
          <w:szCs w:val="36"/>
        </w:rPr>
      </w:pPr>
    </w:p>
    <w:p w14:paraId="5EC974CD">
      <w:pPr>
        <w:spacing w:line="360" w:lineRule="auto"/>
        <w:rPr>
          <w:rFonts w:ascii="宋体" w:hAnsi="宋体"/>
          <w:b/>
          <w:sz w:val="36"/>
          <w:szCs w:val="36"/>
        </w:rPr>
      </w:pPr>
    </w:p>
    <w:p w14:paraId="3CFB7385">
      <w:pPr>
        <w:spacing w:line="360" w:lineRule="auto"/>
        <w:rPr>
          <w:rFonts w:ascii="宋体" w:hAnsi="宋体"/>
          <w:b/>
          <w:sz w:val="36"/>
          <w:szCs w:val="36"/>
        </w:rPr>
      </w:pPr>
    </w:p>
    <w:p w14:paraId="69CA10F5">
      <w:pPr>
        <w:spacing w:line="360" w:lineRule="auto"/>
        <w:rPr>
          <w:rFonts w:ascii="宋体" w:hAnsi="宋体"/>
          <w:b/>
          <w:sz w:val="36"/>
          <w:szCs w:val="36"/>
        </w:rPr>
      </w:pPr>
    </w:p>
    <w:p w14:paraId="425E40B7">
      <w:pPr>
        <w:tabs>
          <w:tab w:val="left" w:pos="-105"/>
          <w:tab w:val="left" w:pos="8820"/>
        </w:tabs>
        <w:spacing w:line="600" w:lineRule="exact"/>
        <w:ind w:right="267" w:rightChars="127"/>
        <w:rPr>
          <w:rFonts w:ascii="仿宋_GB2312" w:hAnsi="仿宋_GB2312" w:eastAsia="仿宋_GB2312" w:cs="仿宋_GB2312"/>
          <w:bCs/>
          <w:color w:val="000000"/>
          <w:sz w:val="36"/>
          <w:szCs w:val="36"/>
        </w:rPr>
      </w:pPr>
      <w:r>
        <w:rPr>
          <w:rFonts w:hint="eastAsia" w:ascii="仿宋_GB2312" w:hAnsi="仿宋_GB2312" w:eastAsia="仿宋_GB2312" w:cs="仿宋_GB2312"/>
          <w:bCs/>
          <w:color w:val="000000"/>
          <w:sz w:val="36"/>
          <w:szCs w:val="36"/>
        </w:rPr>
        <w:t>附件:</w:t>
      </w:r>
      <w:r>
        <w:rPr>
          <w:rFonts w:hint="eastAsia" w:ascii="华文中宋" w:hAnsi="华文中宋" w:eastAsia="华文中宋" w:cs="华文中宋"/>
          <w:b/>
          <w:bCs/>
          <w:sz w:val="36"/>
          <w:szCs w:val="36"/>
        </w:rPr>
        <w:t>桐城盛运重工金工1#、2#厂房屋顶渗漏维修工程屋面板区综合执法局楼顶坡面彩钢瓦投标及劳务报价书（第   次报价）</w:t>
      </w:r>
    </w:p>
    <w:p w14:paraId="34E5734A">
      <w:pPr>
        <w:spacing w:line="500" w:lineRule="exact"/>
        <w:rPr>
          <w:rFonts w:ascii="华文中宋" w:hAnsi="华文中宋" w:eastAsia="华文中宋" w:cs="华文中宋"/>
          <w:b/>
          <w:bCs/>
          <w:sz w:val="32"/>
          <w:szCs w:val="32"/>
        </w:rPr>
      </w:pPr>
      <w:r>
        <w:rPr>
          <w:rFonts w:hint="eastAsia" w:ascii="华文中宋" w:hAnsi="华文中宋" w:eastAsia="华文中宋" w:cs="华文中宋"/>
          <w:b/>
          <w:bCs/>
          <w:sz w:val="32"/>
          <w:szCs w:val="32"/>
        </w:rPr>
        <w:t>致：</w:t>
      </w:r>
      <w:r>
        <w:rPr>
          <w:rFonts w:hint="eastAsia" w:ascii="华文中宋" w:hAnsi="华文中宋" w:eastAsia="华文中宋" w:cs="华文中宋"/>
          <w:b/>
          <w:bCs/>
          <w:sz w:val="32"/>
          <w:szCs w:val="32"/>
          <w:u w:val="single"/>
        </w:rPr>
        <w:t>桐城市天正控股集团有限公司</w:t>
      </w:r>
    </w:p>
    <w:p w14:paraId="6184AA4F">
      <w:pPr>
        <w:spacing w:line="440" w:lineRule="exact"/>
        <w:rPr>
          <w:rFonts w:ascii="宋体" w:hAnsi="宋体" w:eastAsia="宋体" w:cs="宋体"/>
          <w:sz w:val="24"/>
          <w:szCs w:val="24"/>
        </w:rPr>
      </w:pPr>
      <w:r>
        <w:rPr>
          <w:rFonts w:hint="eastAsia" w:ascii="宋体" w:hAnsi="宋体" w:cs="宋体"/>
          <w:sz w:val="24"/>
          <w:szCs w:val="24"/>
        </w:rPr>
        <w:t xml:space="preserve">    经踏勘项目现场，以及审查招标文件及其所有组成文件、补充文件后，我方愿以人民币</w:t>
      </w:r>
      <w:r>
        <w:rPr>
          <w:rFonts w:hint="eastAsia" w:ascii="宋体" w:hAnsi="宋体" w:cs="宋体"/>
          <w:sz w:val="24"/>
          <w:szCs w:val="24"/>
          <w:u w:val="single"/>
        </w:rPr>
        <w:t xml:space="preserve">  劳务     元/平方米   </w:t>
      </w:r>
      <w:r>
        <w:rPr>
          <w:rFonts w:hint="eastAsia" w:ascii="宋体" w:hAnsi="宋体" w:cs="宋体"/>
          <w:sz w:val="24"/>
          <w:szCs w:val="24"/>
        </w:rPr>
        <w:t>的投标价格完成工程的采购和劳务施工。</w:t>
      </w:r>
    </w:p>
    <w:p w14:paraId="39867D07">
      <w:pPr>
        <w:spacing w:line="440" w:lineRule="exact"/>
        <w:ind w:firstLine="480" w:firstLineChars="200"/>
        <w:rPr>
          <w:rFonts w:ascii="宋体" w:hAnsi="宋体" w:cs="宋体"/>
          <w:sz w:val="24"/>
          <w:szCs w:val="24"/>
        </w:rPr>
      </w:pPr>
      <w:r>
        <w:rPr>
          <w:rFonts w:hint="eastAsia" w:ascii="宋体" w:hAnsi="宋体" w:cs="宋体"/>
          <w:sz w:val="24"/>
          <w:szCs w:val="24"/>
        </w:rPr>
        <w:t xml:space="preserve">如果我方的投标被接纳，我方保证在规定时间内完成和交付本合同规定的全部工程；    </w:t>
      </w:r>
    </w:p>
    <w:p w14:paraId="777757B2">
      <w:pPr>
        <w:spacing w:line="440" w:lineRule="exact"/>
        <w:ind w:firstLine="480" w:firstLineChars="200"/>
        <w:rPr>
          <w:rFonts w:ascii="宋体" w:hAnsi="宋体" w:cs="宋体"/>
          <w:sz w:val="24"/>
          <w:szCs w:val="24"/>
        </w:rPr>
      </w:pPr>
      <w:r>
        <w:rPr>
          <w:rFonts w:hint="eastAsia" w:ascii="宋体" w:hAnsi="宋体" w:cs="宋体"/>
          <w:sz w:val="24"/>
          <w:szCs w:val="24"/>
        </w:rPr>
        <w:t>我方确认所提供的投标价格已充分考虑了工地周围环境、交通道路、现场条件、招标文件及其所有组成文件、工程质量标准、工期要求、施工措施、安全文明措施、成本投入、材料价格变动因素、施工不可预见费(招标人认可的工程价款变更除外)等各种内、外部因素对报价的影响；</w:t>
      </w:r>
    </w:p>
    <w:p w14:paraId="386C45EB">
      <w:pPr>
        <w:spacing w:line="440" w:lineRule="exact"/>
        <w:rPr>
          <w:rFonts w:ascii="宋体" w:hAnsi="宋体" w:cs="宋体"/>
          <w:sz w:val="24"/>
          <w:szCs w:val="24"/>
        </w:rPr>
      </w:pPr>
      <w:r>
        <w:rPr>
          <w:rFonts w:hint="eastAsia" w:ascii="宋体" w:hAnsi="宋体" w:cs="宋体"/>
          <w:sz w:val="24"/>
          <w:szCs w:val="24"/>
        </w:rPr>
        <w:t xml:space="preserve">    我方同意你们选择中标单位的办法，并同意自行承担为投标所发生的一切费用；</w:t>
      </w:r>
    </w:p>
    <w:p w14:paraId="2CC324C2">
      <w:pPr>
        <w:spacing w:line="440" w:lineRule="exact"/>
        <w:rPr>
          <w:rFonts w:ascii="宋体" w:hAnsi="宋体" w:cs="宋体"/>
          <w:sz w:val="24"/>
          <w:szCs w:val="24"/>
        </w:rPr>
      </w:pPr>
      <w:r>
        <w:rPr>
          <w:rFonts w:hint="eastAsia" w:ascii="宋体" w:hAnsi="宋体" w:cs="宋体"/>
          <w:sz w:val="24"/>
          <w:szCs w:val="24"/>
        </w:rPr>
        <w:t xml:space="preserve">    我方知道，招标人并无义务必须接受所收到的价格最低或其它任何投标函，且无需作任何解释；</w:t>
      </w:r>
    </w:p>
    <w:p w14:paraId="5565FEE4">
      <w:pPr>
        <w:spacing w:line="440" w:lineRule="exact"/>
        <w:rPr>
          <w:rFonts w:ascii="宋体" w:hAnsi="宋体" w:cs="宋体"/>
          <w:sz w:val="24"/>
          <w:szCs w:val="24"/>
        </w:rPr>
      </w:pPr>
      <w:r>
        <w:rPr>
          <w:rFonts w:hint="eastAsia" w:ascii="宋体" w:hAnsi="宋体" w:cs="宋体"/>
          <w:sz w:val="24"/>
          <w:szCs w:val="24"/>
        </w:rPr>
        <w:t xml:space="preserve">    我方同意在从规定的投标截止日起按照投标须知规定的投标有效期遵守本投标书。在此期限届满之前, 本投标书将始终对我方具有约束力, 并可随时被招标人接受；</w:t>
      </w:r>
    </w:p>
    <w:p w14:paraId="44F0578E">
      <w:pPr>
        <w:spacing w:line="440" w:lineRule="exact"/>
        <w:rPr>
          <w:rFonts w:ascii="宋体" w:hAnsi="宋体" w:cs="宋体"/>
          <w:sz w:val="24"/>
          <w:szCs w:val="24"/>
        </w:rPr>
      </w:pPr>
      <w:r>
        <w:rPr>
          <w:rFonts w:hint="eastAsia" w:ascii="宋体" w:hAnsi="宋体" w:cs="宋体"/>
          <w:sz w:val="24"/>
          <w:szCs w:val="24"/>
        </w:rPr>
        <w:t xml:space="preserve">    本投标函已考虑了招标人向我方发出的关于招标文件的修改通知(如有)。 </w:t>
      </w:r>
    </w:p>
    <w:p w14:paraId="535BBD8C">
      <w:pPr>
        <w:spacing w:line="440" w:lineRule="exact"/>
        <w:rPr>
          <w:rFonts w:ascii="宋体" w:hAnsi="宋体" w:cs="宋体"/>
          <w:sz w:val="24"/>
          <w:szCs w:val="24"/>
        </w:rPr>
      </w:pPr>
      <w:r>
        <w:rPr>
          <w:rFonts w:hint="eastAsia" w:ascii="宋体" w:hAnsi="宋体" w:cs="宋体"/>
          <w:sz w:val="24"/>
          <w:szCs w:val="24"/>
        </w:rPr>
        <w:t xml:space="preserve">                                 投标人：（盖章）</w:t>
      </w:r>
    </w:p>
    <w:p w14:paraId="01839155">
      <w:pPr>
        <w:spacing w:line="440" w:lineRule="exact"/>
        <w:rPr>
          <w:rFonts w:ascii="宋体" w:hAnsi="宋体" w:cs="宋体"/>
          <w:sz w:val="24"/>
          <w:szCs w:val="24"/>
        </w:rPr>
      </w:pPr>
      <w:r>
        <w:rPr>
          <w:rFonts w:hint="eastAsia" w:ascii="宋体" w:hAnsi="宋体" w:cs="宋体"/>
          <w:sz w:val="24"/>
          <w:szCs w:val="24"/>
        </w:rPr>
        <w:t xml:space="preserve">                                 投标人法人代表或委托代理人：</w:t>
      </w:r>
      <w:r>
        <w:rPr>
          <w:rFonts w:hint="eastAsia" w:ascii="宋体" w:hAnsi="宋体" w:cs="宋体"/>
          <w:sz w:val="24"/>
          <w:szCs w:val="24"/>
        </w:rPr>
        <w:tab/>
      </w:r>
    </w:p>
    <w:p w14:paraId="2F6B2BD1">
      <w:pPr>
        <w:spacing w:line="440" w:lineRule="exact"/>
        <w:rPr>
          <w:rFonts w:ascii="宋体" w:hAnsi="宋体" w:cs="宋体"/>
          <w:sz w:val="24"/>
          <w:szCs w:val="24"/>
        </w:rPr>
      </w:pPr>
      <w:r>
        <w:rPr>
          <w:rFonts w:hint="eastAsia" w:ascii="宋体" w:hAnsi="宋体" w:cs="宋体"/>
          <w:sz w:val="24"/>
          <w:szCs w:val="24"/>
        </w:rPr>
        <w:tab/>
      </w:r>
      <w:r>
        <w:rPr>
          <w:rFonts w:hint="eastAsia" w:ascii="宋体" w:hAnsi="宋体" w:cs="宋体"/>
          <w:sz w:val="24"/>
          <w:szCs w:val="24"/>
        </w:rPr>
        <w:t xml:space="preserve">                             日期：</w:t>
      </w:r>
      <w:r>
        <w:rPr>
          <w:rFonts w:hint="eastAsia" w:ascii="宋体" w:hAnsi="宋体" w:cs="宋体"/>
          <w:sz w:val="24"/>
          <w:szCs w:val="24"/>
        </w:rPr>
        <w:tab/>
      </w:r>
    </w:p>
    <w:p w14:paraId="3D7CC4C6">
      <w:pPr>
        <w:pStyle w:val="2"/>
        <w:spacing w:line="440" w:lineRule="exact"/>
        <w:rPr>
          <w:rFonts w:ascii="Times New Roman" w:hAnsi="宋体" w:cs="宋体"/>
          <w:sz w:val="24"/>
          <w:szCs w:val="24"/>
        </w:rPr>
      </w:pPr>
    </w:p>
    <w:p w14:paraId="7695A8B8">
      <w:pPr>
        <w:pStyle w:val="2"/>
        <w:spacing w:line="440" w:lineRule="exact"/>
        <w:rPr>
          <w:rFonts w:hAnsi="宋体" w:cs="宋体"/>
          <w:sz w:val="24"/>
          <w:szCs w:val="24"/>
        </w:rPr>
      </w:pPr>
    </w:p>
    <w:p w14:paraId="667699B2">
      <w:pPr>
        <w:tabs>
          <w:tab w:val="left" w:pos="-105"/>
          <w:tab w:val="left" w:pos="8820"/>
        </w:tabs>
        <w:spacing w:line="440" w:lineRule="exact"/>
        <w:ind w:right="267" w:rightChars="127"/>
        <w:jc w:val="center"/>
        <w:rPr>
          <w:rFonts w:hAnsi="Times New Roman" w:cs="Times New Roman"/>
          <w:szCs w:val="20"/>
        </w:rPr>
      </w:pPr>
      <w:r>
        <w:rPr>
          <w:rFonts w:hint="eastAsia" w:ascii="宋体" w:hAnsi="宋体"/>
          <w:b/>
          <w:color w:val="000000"/>
          <w:sz w:val="36"/>
          <w:szCs w:val="36"/>
        </w:rPr>
        <w:t>（投标单位自备本报价书两份，盖单位公章、法人签字，报价部分预留空白，开标现场填写）</w:t>
      </w:r>
    </w:p>
    <w:p w14:paraId="6EF32F6E"/>
    <w:p w14:paraId="74EA50DA">
      <w:pPr>
        <w:spacing w:line="360" w:lineRule="auto"/>
        <w:rPr>
          <w:rFonts w:ascii="宋体" w:hAnsi="宋体"/>
          <w:b/>
          <w:sz w:val="36"/>
          <w:szCs w:val="36"/>
        </w:rPr>
      </w:pPr>
    </w:p>
    <w:p w14:paraId="120148B9"/>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altName w:val="宋体"/>
    <w:panose1 w:val="02010600040101010101"/>
    <w:charset w:val="86"/>
    <w:family w:val="auto"/>
    <w:pitch w:val="default"/>
    <w:sig w:usb0="00000000" w:usb1="00000000" w:usb2="00000010" w:usb3="00000000" w:csb0="000400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0E45D4"/>
    <w:multiLevelType w:val="singleLevel"/>
    <w:tmpl w:val="D10E45D4"/>
    <w:lvl w:ilvl="0" w:tentative="0">
      <w:start w:val="1"/>
      <w:numFmt w:val="chineseCounting"/>
      <w:suff w:val="nothing"/>
      <w:lvlText w:val="%1、"/>
      <w:lvlJc w:val="left"/>
      <w:pPr>
        <w:ind w:left="0" w:firstLine="0"/>
      </w:pPr>
    </w:lvl>
  </w:abstractNum>
  <w:abstractNum w:abstractNumId="1">
    <w:nsid w:val="19D94619"/>
    <w:multiLevelType w:val="multilevel"/>
    <w:tmpl w:val="19D94619"/>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lvlOverride w:ilvl="0">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YzYjAxODgyOGNjZmE0YWI1NjQzODgzMjRhMTgzOTQifQ=="/>
  </w:docVars>
  <w:rsids>
    <w:rsidRoot w:val="002E60F5"/>
    <w:rsid w:val="00003FEE"/>
    <w:rsid w:val="0008105F"/>
    <w:rsid w:val="000B178F"/>
    <w:rsid w:val="000F0285"/>
    <w:rsid w:val="00104B7B"/>
    <w:rsid w:val="00105DDE"/>
    <w:rsid w:val="00156FEC"/>
    <w:rsid w:val="0016368F"/>
    <w:rsid w:val="001A2B91"/>
    <w:rsid w:val="002E60F5"/>
    <w:rsid w:val="002F7A17"/>
    <w:rsid w:val="00483A6D"/>
    <w:rsid w:val="005007E8"/>
    <w:rsid w:val="005A40A1"/>
    <w:rsid w:val="005E4C82"/>
    <w:rsid w:val="006511A7"/>
    <w:rsid w:val="0068710C"/>
    <w:rsid w:val="006C7ABE"/>
    <w:rsid w:val="00777DB3"/>
    <w:rsid w:val="007E5DDD"/>
    <w:rsid w:val="00874D6B"/>
    <w:rsid w:val="00967DAF"/>
    <w:rsid w:val="009755F2"/>
    <w:rsid w:val="00A73F28"/>
    <w:rsid w:val="00A96C22"/>
    <w:rsid w:val="00AE765F"/>
    <w:rsid w:val="00B165E0"/>
    <w:rsid w:val="00B26217"/>
    <w:rsid w:val="00CB666A"/>
    <w:rsid w:val="00CE1650"/>
    <w:rsid w:val="00D00287"/>
    <w:rsid w:val="00D8328A"/>
    <w:rsid w:val="00DE2BE6"/>
    <w:rsid w:val="00DF706F"/>
    <w:rsid w:val="00E555DF"/>
    <w:rsid w:val="00F3324A"/>
    <w:rsid w:val="00FA7B5C"/>
    <w:rsid w:val="23426111"/>
    <w:rsid w:val="2D041CCB"/>
    <w:rsid w:val="32CA55E9"/>
    <w:rsid w:val="7B3A28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11"/>
    <w:autoRedefine/>
    <w:unhideWhenUsed/>
    <w:qFormat/>
    <w:uiPriority w:val="99"/>
    <w:rPr>
      <w:rFonts w:ascii="宋体" w:hAnsi="Arial"/>
      <w:sz w:val="28"/>
    </w:rPr>
  </w:style>
  <w:style w:type="paragraph" w:styleId="3">
    <w:name w:val="Balloon Text"/>
    <w:basedOn w:val="1"/>
    <w:link w:val="15"/>
    <w:semiHidden/>
    <w:unhideWhenUsed/>
    <w:qFormat/>
    <w:uiPriority w:val="99"/>
    <w:rPr>
      <w:sz w:val="18"/>
      <w:szCs w:val="18"/>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autoRedefine/>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8">
    <w:name w:val="Table Grid"/>
    <w:basedOn w:val="7"/>
    <w:autoRedefine/>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Hyperlink"/>
    <w:basedOn w:val="9"/>
    <w:semiHidden/>
    <w:unhideWhenUsed/>
    <w:qFormat/>
    <w:uiPriority w:val="99"/>
    <w:rPr>
      <w:color w:val="0000FF" w:themeColor="hyperlink"/>
      <w:u w:val="single"/>
      <w14:textFill>
        <w14:solidFill>
          <w14:schemeClr w14:val="hlink"/>
        </w14:solidFill>
      </w14:textFill>
    </w:rPr>
  </w:style>
  <w:style w:type="character" w:customStyle="1" w:styleId="11">
    <w:name w:val="正文文本 Char"/>
    <w:basedOn w:val="9"/>
    <w:link w:val="2"/>
    <w:qFormat/>
    <w:uiPriority w:val="99"/>
    <w:rPr>
      <w:rFonts w:ascii="宋体" w:hAnsi="Arial"/>
      <w:sz w:val="28"/>
    </w:rPr>
  </w:style>
  <w:style w:type="character" w:customStyle="1" w:styleId="12">
    <w:name w:val="页眉 Char"/>
    <w:basedOn w:val="9"/>
    <w:link w:val="5"/>
    <w:qFormat/>
    <w:uiPriority w:val="99"/>
    <w:rPr>
      <w:sz w:val="18"/>
      <w:szCs w:val="18"/>
    </w:rPr>
  </w:style>
  <w:style w:type="character" w:customStyle="1" w:styleId="13">
    <w:name w:val="页脚 Char"/>
    <w:basedOn w:val="9"/>
    <w:link w:val="4"/>
    <w:qFormat/>
    <w:uiPriority w:val="99"/>
    <w:rPr>
      <w:sz w:val="18"/>
      <w:szCs w:val="18"/>
    </w:rPr>
  </w:style>
  <w:style w:type="paragraph" w:styleId="14">
    <w:name w:val="List Paragraph"/>
    <w:basedOn w:val="1"/>
    <w:qFormat/>
    <w:uiPriority w:val="34"/>
    <w:pPr>
      <w:ind w:firstLine="420" w:firstLineChars="200"/>
    </w:pPr>
  </w:style>
  <w:style w:type="character" w:customStyle="1" w:styleId="15">
    <w:name w:val="批注框文本 Char"/>
    <w:basedOn w:val="9"/>
    <w:link w:val="3"/>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7</Pages>
  <Words>3293</Words>
  <Characters>3484</Characters>
  <Lines>28</Lines>
  <Paragraphs>7</Paragraphs>
  <TotalTime>130</TotalTime>
  <ScaleCrop>false</ScaleCrop>
  <LinksUpToDate>false</LinksUpToDate>
  <CharactersWithSpaces>3676</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2024-09-18T08:29:00Z</dcterms:created>
  <dc:creator>jt</dc:creator>
  <cp:lastModifiedBy>微信用户</cp:lastModifiedBy>
  <cp:lastPrinted>2024-09-29T08:01:00Z</cp:lastPrinted>
  <dcterms:modified xsi:type="dcterms:W3CDTF">2024-10-17T01:16:05Z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F9A4F77B5E77437B8ADC33F349982400_13</vt:lpwstr>
  </property>
</Properties>
</file>