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3D4AF1">
      <w:pPr>
        <w:jc w:val="center"/>
        <w:rPr>
          <w:rFonts w:ascii="华文中宋" w:hAnsi="华文中宋" w:eastAsia="华文中宋" w:cs="华文中宋"/>
          <w:b/>
          <w:bCs/>
          <w:sz w:val="48"/>
          <w:szCs w:val="48"/>
        </w:rPr>
      </w:pPr>
      <w:r>
        <w:rPr>
          <w:rFonts w:hint="eastAsia" w:ascii="华文中宋" w:hAnsi="华文中宋" w:eastAsia="华文中宋" w:cs="华文中宋"/>
          <w:b/>
          <w:bCs/>
          <w:sz w:val="48"/>
          <w:szCs w:val="48"/>
        </w:rPr>
        <w:t>桐城经开区和平苑小区、双创园B区</w:t>
      </w:r>
    </w:p>
    <w:p w14:paraId="3B168FDA">
      <w:pPr>
        <w:jc w:val="center"/>
        <w:rPr>
          <w:rFonts w:ascii="华文中宋" w:hAnsi="华文中宋" w:eastAsia="华文中宋" w:cs="华文中宋"/>
          <w:b/>
          <w:bCs/>
          <w:sz w:val="48"/>
          <w:szCs w:val="48"/>
        </w:rPr>
      </w:pPr>
      <w:r>
        <w:rPr>
          <w:rFonts w:hint="eastAsia" w:ascii="华文中宋" w:hAnsi="华文中宋" w:eastAsia="华文中宋" w:cs="华文中宋"/>
          <w:b/>
          <w:bCs/>
          <w:sz w:val="48"/>
          <w:szCs w:val="48"/>
        </w:rPr>
        <w:t>绿化养护劳务分包</w:t>
      </w:r>
    </w:p>
    <w:p w14:paraId="44230029">
      <w:pPr>
        <w:jc w:val="center"/>
        <w:rPr>
          <w:rFonts w:ascii="华文中宋" w:hAnsi="华文中宋" w:eastAsia="华文中宋" w:cs="华文中宋"/>
          <w:b/>
          <w:bCs/>
          <w:sz w:val="48"/>
          <w:szCs w:val="48"/>
        </w:rPr>
      </w:pPr>
    </w:p>
    <w:p w14:paraId="7FC80F28">
      <w:pPr>
        <w:jc w:val="center"/>
        <w:rPr>
          <w:rFonts w:ascii="华文中宋" w:hAnsi="华文中宋" w:eastAsia="华文中宋" w:cs="华文中宋"/>
          <w:b/>
          <w:bCs/>
          <w:sz w:val="72"/>
          <w:szCs w:val="48"/>
        </w:rPr>
      </w:pPr>
    </w:p>
    <w:p w14:paraId="75DB88EB">
      <w:pPr>
        <w:jc w:val="center"/>
        <w:rPr>
          <w:rFonts w:ascii="宋体" w:hAnsi="宋体" w:eastAsia="宋体" w:cs="宋体"/>
          <w:sz w:val="40"/>
          <w:szCs w:val="30"/>
        </w:rPr>
      </w:pPr>
      <w:r>
        <w:rPr>
          <w:rFonts w:hint="eastAsia" w:ascii="华文中宋" w:hAnsi="华文中宋" w:eastAsia="华文中宋" w:cs="华文中宋"/>
          <w:b/>
          <w:bCs/>
          <w:sz w:val="72"/>
          <w:szCs w:val="48"/>
        </w:rPr>
        <w:t>竞价文件</w:t>
      </w:r>
    </w:p>
    <w:p w14:paraId="7767874F">
      <w:pPr>
        <w:rPr>
          <w:rFonts w:ascii="宋体" w:hAnsi="宋体" w:eastAsia="宋体" w:cs="宋体"/>
          <w:sz w:val="30"/>
          <w:szCs w:val="30"/>
        </w:rPr>
      </w:pPr>
    </w:p>
    <w:p w14:paraId="2BF0F76D">
      <w:pPr>
        <w:rPr>
          <w:rFonts w:ascii="宋体" w:hAnsi="宋体" w:eastAsia="宋体" w:cs="宋体"/>
          <w:sz w:val="30"/>
          <w:szCs w:val="30"/>
        </w:rPr>
      </w:pPr>
    </w:p>
    <w:p w14:paraId="665BB34B">
      <w:pPr>
        <w:rPr>
          <w:rFonts w:ascii="宋体" w:hAnsi="宋体" w:eastAsia="宋体" w:cs="宋体"/>
          <w:sz w:val="30"/>
          <w:szCs w:val="30"/>
        </w:rPr>
      </w:pPr>
    </w:p>
    <w:p w14:paraId="0ED911FF">
      <w:pPr>
        <w:rPr>
          <w:rFonts w:ascii="宋体" w:hAnsi="宋体" w:eastAsia="宋体" w:cs="宋体"/>
          <w:sz w:val="30"/>
          <w:szCs w:val="30"/>
        </w:rPr>
      </w:pPr>
    </w:p>
    <w:p w14:paraId="16C8BB0D">
      <w:pPr>
        <w:rPr>
          <w:rFonts w:ascii="宋体" w:hAnsi="宋体" w:eastAsia="宋体" w:cs="宋体"/>
          <w:sz w:val="30"/>
          <w:szCs w:val="30"/>
        </w:rPr>
      </w:pPr>
    </w:p>
    <w:p w14:paraId="5E1D9DE9">
      <w:pPr>
        <w:rPr>
          <w:rFonts w:ascii="宋体" w:hAnsi="宋体" w:eastAsia="宋体" w:cs="宋体"/>
          <w:sz w:val="30"/>
          <w:szCs w:val="30"/>
        </w:rPr>
      </w:pPr>
    </w:p>
    <w:p w14:paraId="4326EE32">
      <w:pPr>
        <w:ind w:firstLine="600" w:firstLineChars="200"/>
        <w:rPr>
          <w:rFonts w:ascii="宋体" w:hAnsi="宋体" w:eastAsia="宋体" w:cs="宋体"/>
          <w:sz w:val="30"/>
          <w:szCs w:val="30"/>
        </w:rPr>
      </w:pPr>
    </w:p>
    <w:p w14:paraId="35B53E89">
      <w:pPr>
        <w:ind w:firstLine="600" w:firstLineChars="200"/>
        <w:rPr>
          <w:rFonts w:ascii="宋体" w:hAnsi="宋体" w:eastAsia="宋体" w:cs="宋体"/>
          <w:sz w:val="30"/>
          <w:szCs w:val="30"/>
        </w:rPr>
      </w:pPr>
    </w:p>
    <w:p w14:paraId="5BBE3FC8">
      <w:pPr>
        <w:ind w:firstLine="600" w:firstLineChars="200"/>
        <w:rPr>
          <w:rFonts w:ascii="宋体" w:hAnsi="宋体" w:eastAsia="宋体" w:cs="宋体"/>
          <w:sz w:val="30"/>
          <w:szCs w:val="30"/>
        </w:rPr>
      </w:pPr>
    </w:p>
    <w:p w14:paraId="168BF88F">
      <w:pPr>
        <w:ind w:firstLine="600" w:firstLineChars="200"/>
        <w:rPr>
          <w:rFonts w:ascii="宋体" w:hAnsi="宋体" w:eastAsia="宋体" w:cs="宋体"/>
          <w:sz w:val="30"/>
          <w:szCs w:val="30"/>
        </w:rPr>
      </w:pPr>
    </w:p>
    <w:p w14:paraId="45E080C5">
      <w:pPr>
        <w:rPr>
          <w:rFonts w:hint="default" w:ascii="宋体" w:hAnsi="宋体" w:eastAsia="宋体" w:cs="宋体"/>
          <w:sz w:val="36"/>
          <w:szCs w:val="30"/>
          <w:lang w:val="en-US" w:eastAsia="zh-CN"/>
        </w:rPr>
      </w:pPr>
      <w:r>
        <w:rPr>
          <w:rFonts w:hint="eastAsia" w:ascii="宋体" w:hAnsi="宋体" w:eastAsia="宋体" w:cs="宋体"/>
          <w:sz w:val="36"/>
          <w:szCs w:val="30"/>
        </w:rPr>
        <w:t>发包项目编号：</w:t>
      </w:r>
      <w:r>
        <w:rPr>
          <w:rFonts w:hint="eastAsia" w:ascii="宋体" w:hAnsi="宋体" w:eastAsia="宋体" w:cs="宋体"/>
          <w:sz w:val="36"/>
          <w:szCs w:val="30"/>
          <w:lang w:val="en-US" w:eastAsia="zh-CN"/>
        </w:rPr>
        <w:t>JKQJT-2025047</w:t>
      </w:r>
    </w:p>
    <w:p w14:paraId="7E868379">
      <w:pPr>
        <w:ind w:firstLine="720" w:firstLineChars="200"/>
        <w:rPr>
          <w:rFonts w:ascii="宋体" w:hAnsi="宋体" w:eastAsia="宋体" w:cs="宋体"/>
          <w:sz w:val="36"/>
          <w:szCs w:val="30"/>
        </w:rPr>
      </w:pPr>
    </w:p>
    <w:p w14:paraId="66C19582">
      <w:pPr>
        <w:rPr>
          <w:rFonts w:ascii="宋体" w:hAnsi="宋体" w:eastAsia="宋体" w:cs="宋体"/>
          <w:sz w:val="36"/>
          <w:szCs w:val="30"/>
        </w:rPr>
      </w:pPr>
      <w:r>
        <w:rPr>
          <w:rFonts w:hint="eastAsia" w:ascii="宋体" w:hAnsi="宋体" w:eastAsia="宋体" w:cs="宋体"/>
          <w:sz w:val="36"/>
          <w:szCs w:val="30"/>
        </w:rPr>
        <w:t>招标单位：（单位公章）桐城市天园林绿化工程有限公司</w:t>
      </w:r>
    </w:p>
    <w:p w14:paraId="773B8C46">
      <w:pPr>
        <w:ind w:firstLine="720" w:firstLineChars="200"/>
        <w:rPr>
          <w:rFonts w:ascii="宋体" w:hAnsi="宋体" w:eastAsia="宋体" w:cs="宋体"/>
          <w:sz w:val="36"/>
          <w:szCs w:val="30"/>
        </w:rPr>
      </w:pPr>
    </w:p>
    <w:p w14:paraId="35749F2A">
      <w:pPr>
        <w:rPr>
          <w:rFonts w:ascii="宋体" w:hAnsi="宋体" w:eastAsia="宋体" w:cs="宋体"/>
          <w:sz w:val="36"/>
          <w:szCs w:val="30"/>
        </w:rPr>
      </w:pPr>
      <w:r>
        <w:rPr>
          <w:rFonts w:hint="eastAsia" w:ascii="宋体" w:hAnsi="宋体" w:eastAsia="宋体" w:cs="宋体"/>
          <w:sz w:val="36"/>
          <w:szCs w:val="30"/>
        </w:rPr>
        <w:t>代理机构：（单位公章）桐城经开区建投集团招投标办公室</w:t>
      </w:r>
    </w:p>
    <w:p w14:paraId="47808502">
      <w:pPr>
        <w:rPr>
          <w:rFonts w:ascii="宋体" w:hAnsi="宋体" w:eastAsia="宋体" w:cs="宋体"/>
          <w:sz w:val="36"/>
          <w:szCs w:val="30"/>
        </w:rPr>
      </w:pPr>
    </w:p>
    <w:p w14:paraId="363E7FB8">
      <w:pPr>
        <w:rPr>
          <w:rFonts w:ascii="宋体" w:hAnsi="宋体" w:eastAsia="宋体" w:cs="宋体"/>
          <w:sz w:val="36"/>
          <w:szCs w:val="30"/>
        </w:rPr>
      </w:pPr>
    </w:p>
    <w:p w14:paraId="66DF8D7C">
      <w:pPr>
        <w:jc w:val="center"/>
        <w:rPr>
          <w:rFonts w:ascii="宋体" w:hAnsi="宋体" w:eastAsia="宋体" w:cs="宋体"/>
          <w:sz w:val="36"/>
          <w:szCs w:val="30"/>
        </w:rPr>
        <w:sectPr>
          <w:pgSz w:w="11906" w:h="16838"/>
          <w:pgMar w:top="1440" w:right="1133" w:bottom="1440" w:left="1560" w:header="720" w:footer="720" w:gutter="0"/>
          <w:cols w:space="720" w:num="1"/>
        </w:sectPr>
      </w:pPr>
      <w:r>
        <w:rPr>
          <w:rFonts w:hint="eastAsia" w:ascii="宋体" w:hAnsi="宋体" w:eastAsia="宋体" w:cs="宋体"/>
          <w:sz w:val="36"/>
          <w:szCs w:val="30"/>
        </w:rPr>
        <w:t>2025</w:t>
      </w:r>
      <w:r>
        <w:rPr>
          <w:rFonts w:hint="eastAsia" w:ascii="宋体" w:hAnsi="宋体" w:eastAsia="宋体" w:cs="宋体"/>
          <w:sz w:val="36"/>
          <w:szCs w:val="30"/>
        </w:rPr>
        <w:tab/>
      </w:r>
      <w:r>
        <w:rPr>
          <w:rFonts w:hint="eastAsia" w:ascii="宋体" w:hAnsi="宋体" w:eastAsia="宋体" w:cs="宋体"/>
          <w:sz w:val="36"/>
          <w:szCs w:val="30"/>
        </w:rPr>
        <w:t xml:space="preserve">年 </w:t>
      </w:r>
      <w:r>
        <w:rPr>
          <w:rFonts w:hint="eastAsia" w:ascii="宋体" w:hAnsi="宋体" w:eastAsia="宋体" w:cs="宋体"/>
          <w:sz w:val="36"/>
          <w:szCs w:val="30"/>
          <w:lang w:val="en-US" w:eastAsia="zh-CN"/>
        </w:rPr>
        <w:t>10</w:t>
      </w:r>
      <w:r>
        <w:rPr>
          <w:rFonts w:hint="eastAsia" w:ascii="宋体" w:hAnsi="宋体" w:eastAsia="宋体" w:cs="宋体"/>
          <w:sz w:val="36"/>
          <w:szCs w:val="30"/>
        </w:rPr>
        <w:t xml:space="preserve"> 月</w:t>
      </w:r>
      <w:r>
        <w:rPr>
          <w:rFonts w:hint="eastAsia" w:ascii="宋体" w:hAnsi="宋体" w:eastAsia="宋体" w:cs="宋体"/>
          <w:sz w:val="36"/>
          <w:szCs w:val="30"/>
          <w:lang w:val="en-US" w:eastAsia="zh-CN"/>
        </w:rPr>
        <w:t>27</w:t>
      </w:r>
      <w:r>
        <w:rPr>
          <w:rFonts w:hint="eastAsia" w:ascii="宋体" w:hAnsi="宋体" w:eastAsia="宋体" w:cs="宋体"/>
          <w:sz w:val="36"/>
          <w:szCs w:val="30"/>
        </w:rPr>
        <w:t xml:space="preserve">  日</w:t>
      </w:r>
    </w:p>
    <w:p w14:paraId="171D514D">
      <w:pPr>
        <w:ind w:firstLine="2891" w:firstLineChars="600"/>
        <w:rPr>
          <w:rFonts w:ascii="华文中宋" w:hAnsi="华文中宋" w:eastAsia="华文中宋" w:cs="华文中宋"/>
          <w:b/>
          <w:bCs/>
          <w:sz w:val="48"/>
          <w:szCs w:val="48"/>
        </w:rPr>
      </w:pPr>
      <w:r>
        <w:rPr>
          <w:rFonts w:hint="eastAsia" w:ascii="华文中宋" w:hAnsi="华文中宋" w:eastAsia="华文中宋" w:cs="华文中宋"/>
          <w:b/>
          <w:bCs/>
          <w:sz w:val="48"/>
          <w:szCs w:val="48"/>
        </w:rPr>
        <w:t>目 录</w:t>
      </w:r>
    </w:p>
    <w:p w14:paraId="06A1F1E4">
      <w:pPr>
        <w:ind w:firstLine="2891" w:firstLineChars="600"/>
        <w:rPr>
          <w:rFonts w:ascii="华文中宋" w:hAnsi="华文中宋" w:eastAsia="华文中宋" w:cs="华文中宋"/>
          <w:b/>
          <w:bCs/>
          <w:sz w:val="48"/>
          <w:szCs w:val="48"/>
        </w:rPr>
      </w:pPr>
    </w:p>
    <w:p w14:paraId="5AB9D98F">
      <w:pPr>
        <w:rPr>
          <w:rFonts w:ascii="宋体" w:hAnsi="宋体" w:eastAsia="宋体" w:cs="宋体"/>
          <w:sz w:val="30"/>
          <w:szCs w:val="30"/>
        </w:rPr>
      </w:pPr>
      <w:r>
        <w:rPr>
          <w:rFonts w:hint="eastAsia" w:ascii="宋体" w:hAnsi="宋体" w:eastAsia="宋体" w:cs="宋体"/>
          <w:sz w:val="30"/>
          <w:szCs w:val="30"/>
        </w:rPr>
        <w:t>第一章 竟价公告</w:t>
      </w:r>
    </w:p>
    <w:p w14:paraId="4D5559B9">
      <w:pPr>
        <w:rPr>
          <w:rFonts w:ascii="宋体" w:hAnsi="宋体" w:eastAsia="宋体" w:cs="宋体"/>
          <w:sz w:val="30"/>
          <w:szCs w:val="30"/>
        </w:rPr>
      </w:pPr>
      <w:r>
        <w:rPr>
          <w:rFonts w:hint="eastAsia" w:ascii="宋体" w:hAnsi="宋体" w:eastAsia="宋体" w:cs="宋体"/>
          <w:sz w:val="30"/>
          <w:szCs w:val="30"/>
        </w:rPr>
        <w:t>第二章投标单位须知</w:t>
      </w:r>
    </w:p>
    <w:p w14:paraId="6913BA11">
      <w:pPr>
        <w:rPr>
          <w:rFonts w:ascii="宋体" w:hAnsi="宋体" w:eastAsia="宋体" w:cs="宋体"/>
          <w:sz w:val="30"/>
          <w:szCs w:val="30"/>
        </w:rPr>
      </w:pPr>
      <w:r>
        <w:rPr>
          <w:rFonts w:hint="eastAsia" w:ascii="宋体" w:hAnsi="宋体" w:eastAsia="宋体" w:cs="宋体"/>
          <w:sz w:val="30"/>
          <w:szCs w:val="30"/>
        </w:rPr>
        <w:t>第三章 招标单位需求</w:t>
      </w:r>
    </w:p>
    <w:p w14:paraId="4D78C933">
      <w:pPr>
        <w:rPr>
          <w:rFonts w:ascii="宋体" w:hAnsi="宋体" w:eastAsia="宋体" w:cs="宋体"/>
          <w:sz w:val="30"/>
          <w:szCs w:val="30"/>
        </w:rPr>
      </w:pPr>
      <w:r>
        <w:rPr>
          <w:rFonts w:hint="eastAsia" w:ascii="宋体" w:hAnsi="宋体" w:eastAsia="宋体" w:cs="宋体"/>
          <w:sz w:val="30"/>
          <w:szCs w:val="30"/>
        </w:rPr>
        <w:t>第四章 竟价响应文件格式</w:t>
      </w:r>
    </w:p>
    <w:p w14:paraId="74065ADE">
      <w:pPr>
        <w:rPr>
          <w:rFonts w:ascii="宋体" w:hAnsi="宋体" w:eastAsia="宋体" w:cs="宋体"/>
          <w:sz w:val="30"/>
          <w:szCs w:val="30"/>
        </w:rPr>
      </w:pPr>
    </w:p>
    <w:p w14:paraId="7CBF5CFF">
      <w:pPr>
        <w:rPr>
          <w:rFonts w:ascii="宋体" w:hAnsi="宋体" w:eastAsia="宋体" w:cs="宋体"/>
          <w:sz w:val="30"/>
          <w:szCs w:val="30"/>
        </w:rPr>
      </w:pPr>
    </w:p>
    <w:p w14:paraId="793D23F9">
      <w:pPr>
        <w:rPr>
          <w:rFonts w:ascii="宋体" w:hAnsi="宋体" w:eastAsia="宋体" w:cs="宋体"/>
          <w:sz w:val="30"/>
          <w:szCs w:val="30"/>
        </w:rPr>
      </w:pPr>
    </w:p>
    <w:p w14:paraId="298B3974">
      <w:pPr>
        <w:rPr>
          <w:rFonts w:ascii="宋体" w:hAnsi="宋体" w:eastAsia="宋体" w:cs="宋体"/>
          <w:sz w:val="30"/>
          <w:szCs w:val="30"/>
        </w:rPr>
      </w:pPr>
    </w:p>
    <w:p w14:paraId="49811B2E">
      <w:pPr>
        <w:rPr>
          <w:rFonts w:ascii="宋体" w:hAnsi="宋体" w:eastAsia="宋体" w:cs="宋体"/>
          <w:sz w:val="30"/>
          <w:szCs w:val="30"/>
        </w:rPr>
      </w:pPr>
    </w:p>
    <w:p w14:paraId="17FA9FED">
      <w:pPr>
        <w:rPr>
          <w:rFonts w:ascii="宋体" w:hAnsi="宋体" w:eastAsia="宋体" w:cs="宋体"/>
          <w:sz w:val="30"/>
          <w:szCs w:val="30"/>
        </w:rPr>
      </w:pPr>
    </w:p>
    <w:p w14:paraId="78D53873">
      <w:pPr>
        <w:rPr>
          <w:rFonts w:ascii="宋体" w:hAnsi="宋体" w:eastAsia="宋体" w:cs="宋体"/>
          <w:sz w:val="30"/>
          <w:szCs w:val="30"/>
        </w:rPr>
      </w:pPr>
    </w:p>
    <w:p w14:paraId="02154C05">
      <w:pPr>
        <w:rPr>
          <w:rFonts w:ascii="宋体" w:hAnsi="宋体" w:eastAsia="宋体" w:cs="宋体"/>
          <w:sz w:val="30"/>
          <w:szCs w:val="30"/>
        </w:rPr>
      </w:pPr>
    </w:p>
    <w:p w14:paraId="3F1117DA">
      <w:pPr>
        <w:rPr>
          <w:rFonts w:ascii="宋体" w:hAnsi="宋体" w:eastAsia="宋体" w:cs="宋体"/>
          <w:sz w:val="30"/>
          <w:szCs w:val="30"/>
        </w:rPr>
      </w:pPr>
    </w:p>
    <w:p w14:paraId="277B4524">
      <w:pPr>
        <w:rPr>
          <w:rFonts w:ascii="宋体" w:hAnsi="宋体" w:eastAsia="宋体" w:cs="宋体"/>
          <w:sz w:val="30"/>
          <w:szCs w:val="30"/>
        </w:rPr>
      </w:pPr>
    </w:p>
    <w:p w14:paraId="778F4E01">
      <w:pPr>
        <w:rPr>
          <w:rFonts w:ascii="宋体" w:hAnsi="宋体" w:eastAsia="宋体" w:cs="宋体"/>
          <w:sz w:val="30"/>
          <w:szCs w:val="30"/>
        </w:rPr>
      </w:pPr>
    </w:p>
    <w:p w14:paraId="777DA16E">
      <w:pPr>
        <w:rPr>
          <w:rFonts w:ascii="宋体" w:hAnsi="宋体" w:eastAsia="宋体" w:cs="宋体"/>
          <w:sz w:val="30"/>
          <w:szCs w:val="30"/>
        </w:rPr>
      </w:pPr>
    </w:p>
    <w:p w14:paraId="5CA8350A">
      <w:pPr>
        <w:rPr>
          <w:rFonts w:ascii="宋体" w:hAnsi="宋体" w:eastAsia="宋体" w:cs="宋体"/>
          <w:sz w:val="30"/>
          <w:szCs w:val="30"/>
        </w:rPr>
      </w:pPr>
    </w:p>
    <w:p w14:paraId="19BD4A00">
      <w:pPr>
        <w:rPr>
          <w:rFonts w:ascii="宋体" w:hAnsi="宋体" w:eastAsia="宋体" w:cs="宋体"/>
          <w:sz w:val="30"/>
          <w:szCs w:val="30"/>
        </w:rPr>
      </w:pPr>
    </w:p>
    <w:p w14:paraId="075CD29B">
      <w:pPr>
        <w:rPr>
          <w:rFonts w:ascii="宋体" w:hAnsi="宋体" w:eastAsia="宋体" w:cs="宋体"/>
          <w:sz w:val="30"/>
          <w:szCs w:val="30"/>
        </w:rPr>
      </w:pPr>
    </w:p>
    <w:p w14:paraId="65DBE466">
      <w:pPr>
        <w:jc w:val="center"/>
        <w:rPr>
          <w:rFonts w:ascii="华文中宋" w:hAnsi="华文中宋" w:eastAsia="华文中宋" w:cs="华文中宋"/>
          <w:b/>
          <w:bCs/>
          <w:sz w:val="36"/>
          <w:szCs w:val="36"/>
        </w:rPr>
      </w:pPr>
      <w:r>
        <w:rPr>
          <w:rFonts w:hint="eastAsia" w:ascii="华文中宋" w:hAnsi="华文中宋" w:eastAsia="华文中宋" w:cs="华文中宋"/>
          <w:b/>
          <w:bCs/>
          <w:sz w:val="36"/>
          <w:szCs w:val="36"/>
        </w:rPr>
        <w:t>第一章竞价公告</w:t>
      </w:r>
    </w:p>
    <w:p w14:paraId="5F282689">
      <w:pPr>
        <w:jc w:val="center"/>
        <w:rPr>
          <w:rFonts w:ascii="华文中宋" w:hAnsi="华文中宋" w:eastAsia="华文中宋" w:cs="华文中宋"/>
          <w:b/>
          <w:bCs/>
          <w:sz w:val="44"/>
          <w:szCs w:val="44"/>
        </w:rPr>
      </w:pPr>
    </w:p>
    <w:p w14:paraId="63A4CE19">
      <w:pPr>
        <w:spacing w:line="500" w:lineRule="exact"/>
        <w:rPr>
          <w:rFonts w:ascii="宋体" w:hAnsi="宋体" w:eastAsia="宋体" w:cs="宋体"/>
          <w:b/>
          <w:bCs/>
          <w:sz w:val="28"/>
          <w:szCs w:val="28"/>
        </w:rPr>
      </w:pPr>
      <w:r>
        <w:rPr>
          <w:rFonts w:hint="eastAsia" w:ascii="宋体" w:hAnsi="宋体" w:eastAsia="宋体" w:cs="宋体"/>
          <w:b/>
          <w:bCs/>
          <w:sz w:val="28"/>
          <w:szCs w:val="28"/>
        </w:rPr>
        <w:t>一、项目基本情况</w:t>
      </w:r>
    </w:p>
    <w:p w14:paraId="669AE843">
      <w:pPr>
        <w:spacing w:line="500" w:lineRule="exact"/>
        <w:rPr>
          <w:rFonts w:ascii="宋体" w:hAnsi="宋体" w:eastAsia="宋体" w:cs="宋体"/>
          <w:b/>
          <w:bCs/>
          <w:sz w:val="28"/>
          <w:szCs w:val="28"/>
        </w:rPr>
      </w:pPr>
      <w:r>
        <w:rPr>
          <w:rFonts w:hint="eastAsia" w:ascii="宋体" w:hAnsi="宋体" w:eastAsia="宋体" w:cs="宋体"/>
          <w:b/>
          <w:bCs/>
          <w:sz w:val="28"/>
          <w:szCs w:val="28"/>
        </w:rPr>
        <w:t>项目名称：</w:t>
      </w:r>
      <w:r>
        <w:rPr>
          <w:rFonts w:hint="eastAsia" w:ascii="宋体" w:hAnsi="宋体" w:eastAsia="宋体" w:cs="宋体"/>
          <w:bCs/>
          <w:sz w:val="28"/>
          <w:szCs w:val="28"/>
          <w:u w:val="single"/>
        </w:rPr>
        <w:t>桐城经开区和平苑小区、双创园B区绿化养护工程</w:t>
      </w:r>
    </w:p>
    <w:p w14:paraId="70F8BD1F">
      <w:pPr>
        <w:spacing w:line="500" w:lineRule="exact"/>
        <w:rPr>
          <w:rFonts w:ascii="宋体" w:hAnsi="宋体" w:eastAsia="宋体" w:cs="宋体"/>
          <w:b/>
          <w:bCs/>
          <w:sz w:val="28"/>
          <w:szCs w:val="28"/>
          <w:u w:val="single"/>
        </w:rPr>
      </w:pPr>
      <w:r>
        <w:rPr>
          <w:rFonts w:hint="eastAsia" w:ascii="宋体" w:hAnsi="宋体" w:eastAsia="宋体" w:cs="宋体"/>
          <w:b/>
          <w:bCs/>
          <w:sz w:val="28"/>
          <w:szCs w:val="28"/>
        </w:rPr>
        <w:t>项目编号：</w:t>
      </w:r>
    </w:p>
    <w:p w14:paraId="4EAA7ADC">
      <w:pPr>
        <w:spacing w:line="500" w:lineRule="exact"/>
        <w:rPr>
          <w:rFonts w:ascii="宋体" w:hAnsi="宋体" w:eastAsia="宋体" w:cs="宋体"/>
          <w:sz w:val="28"/>
          <w:szCs w:val="28"/>
        </w:rPr>
      </w:pPr>
      <w:r>
        <w:rPr>
          <w:rFonts w:hint="eastAsia" w:ascii="宋体" w:hAnsi="宋体" w:eastAsia="宋体" w:cs="宋体"/>
          <w:b/>
          <w:sz w:val="28"/>
          <w:szCs w:val="28"/>
        </w:rPr>
        <w:t>项目批准文号：</w:t>
      </w:r>
      <w:r>
        <w:rPr>
          <w:rFonts w:hint="eastAsia" w:ascii="宋体" w:hAnsi="宋体" w:eastAsia="宋体" w:cs="宋体"/>
          <w:sz w:val="28"/>
          <w:szCs w:val="28"/>
        </w:rPr>
        <w:t>根据桐开建投委办秘2025年第20次及桐开建投办秘2025年第13次会议纪要内容，桐城经开区和平苑小区、双创园B区绿化养护工程由桐城市天正园林绿化工程有限公司负责养护，现桐城市天正园林绿化工程有限公司依据国家有关法律法规等规定，采用公开竞价方式进行公开竞价，择优选定劳务分包单位。</w:t>
      </w:r>
    </w:p>
    <w:p w14:paraId="257316AC">
      <w:pPr>
        <w:spacing w:line="500" w:lineRule="exact"/>
        <w:rPr>
          <w:rFonts w:ascii="宋体" w:hAnsi="宋体" w:eastAsia="宋体" w:cs="宋体"/>
          <w:sz w:val="28"/>
          <w:szCs w:val="28"/>
        </w:rPr>
      </w:pPr>
      <w:r>
        <w:rPr>
          <w:rFonts w:hint="eastAsia" w:ascii="宋体" w:hAnsi="宋体" w:eastAsia="宋体" w:cs="宋体"/>
          <w:b/>
          <w:bCs/>
          <w:sz w:val="28"/>
          <w:szCs w:val="28"/>
        </w:rPr>
        <w:t>招标单位：</w:t>
      </w:r>
      <w:r>
        <w:rPr>
          <w:rFonts w:hint="eastAsia" w:ascii="宋体" w:hAnsi="宋体" w:eastAsia="宋体" w:cs="宋体"/>
          <w:sz w:val="30"/>
          <w:szCs w:val="30"/>
        </w:rPr>
        <w:t>桐城市天正园林绿化工程有限公司</w:t>
      </w:r>
    </w:p>
    <w:p w14:paraId="7625EF50">
      <w:pPr>
        <w:spacing w:line="500" w:lineRule="exact"/>
        <w:rPr>
          <w:rFonts w:ascii="宋体" w:hAnsi="宋体" w:eastAsia="宋体" w:cs="宋体"/>
          <w:sz w:val="28"/>
          <w:szCs w:val="28"/>
        </w:rPr>
      </w:pPr>
      <w:r>
        <w:rPr>
          <w:rFonts w:hint="eastAsia" w:ascii="宋体" w:hAnsi="宋体" w:eastAsia="宋体" w:cs="宋体"/>
          <w:b/>
          <w:bCs/>
          <w:sz w:val="28"/>
          <w:szCs w:val="28"/>
        </w:rPr>
        <w:t>代理机构：</w:t>
      </w:r>
      <w:r>
        <w:rPr>
          <w:rFonts w:hint="eastAsia" w:ascii="宋体" w:hAnsi="宋体" w:eastAsia="宋体" w:cs="宋体"/>
          <w:sz w:val="28"/>
          <w:szCs w:val="28"/>
        </w:rPr>
        <w:t>桐城经开区建投集团招投标办公室</w:t>
      </w:r>
    </w:p>
    <w:p w14:paraId="6B859F28">
      <w:pPr>
        <w:spacing w:line="500" w:lineRule="exact"/>
        <w:rPr>
          <w:rFonts w:ascii="宋体" w:hAnsi="宋体" w:eastAsia="宋体" w:cs="宋体"/>
          <w:sz w:val="28"/>
          <w:szCs w:val="28"/>
        </w:rPr>
      </w:pPr>
      <w:r>
        <w:rPr>
          <w:rFonts w:hint="eastAsia" w:ascii="宋体" w:hAnsi="宋体" w:eastAsia="宋体" w:cs="宋体"/>
          <w:b/>
          <w:bCs/>
          <w:sz w:val="28"/>
          <w:szCs w:val="28"/>
        </w:rPr>
        <w:t>资金落实情况：</w:t>
      </w:r>
      <w:r>
        <w:rPr>
          <w:rFonts w:hint="eastAsia" w:ascii="宋体" w:hAnsi="宋体" w:eastAsia="宋体" w:cs="宋体"/>
          <w:sz w:val="28"/>
          <w:szCs w:val="28"/>
        </w:rPr>
        <w:t>企业自筹资金</w:t>
      </w:r>
    </w:p>
    <w:p w14:paraId="1CA44A63">
      <w:pPr>
        <w:spacing w:line="500" w:lineRule="exact"/>
        <w:rPr>
          <w:rFonts w:ascii="宋体" w:hAnsi="宋体" w:eastAsia="宋体" w:cs="宋体"/>
          <w:sz w:val="28"/>
          <w:szCs w:val="28"/>
        </w:rPr>
      </w:pPr>
      <w:r>
        <w:rPr>
          <w:rFonts w:hint="eastAsia" w:ascii="宋体" w:hAnsi="宋体" w:eastAsia="宋体" w:cs="宋体"/>
          <w:b/>
          <w:bCs/>
          <w:sz w:val="28"/>
          <w:szCs w:val="28"/>
        </w:rPr>
        <w:t>项目概况：</w:t>
      </w:r>
      <w:r>
        <w:rPr>
          <w:rFonts w:hint="eastAsia" w:ascii="宋体" w:hAnsi="宋体" w:eastAsia="宋体" w:cs="宋体"/>
          <w:sz w:val="28"/>
          <w:szCs w:val="28"/>
          <w:u w:val="single"/>
        </w:rPr>
        <w:t>经开区和平苑1-92</w:t>
      </w:r>
      <w:r>
        <w:rPr>
          <w:rFonts w:hint="eastAsia" w:ascii="宋体" w:hAnsi="宋体" w:eastAsia="宋体" w:cs="宋体"/>
          <w:sz w:val="28"/>
          <w:szCs w:val="28"/>
          <w:u w:val="single"/>
          <w:vertAlign w:val="superscript"/>
        </w:rPr>
        <w:t>#</w:t>
      </w:r>
      <w:r>
        <w:rPr>
          <w:rFonts w:hint="eastAsia" w:ascii="宋体" w:hAnsi="宋体" w:eastAsia="宋体" w:cs="宋体"/>
          <w:sz w:val="28"/>
          <w:szCs w:val="28"/>
          <w:u w:val="single"/>
        </w:rPr>
        <w:t>楼养护面积52971m</w:t>
      </w:r>
      <w:r>
        <w:rPr>
          <w:rFonts w:hint="eastAsia" w:ascii="宋体" w:hAnsi="宋体" w:eastAsia="宋体" w:cs="宋体"/>
          <w:sz w:val="28"/>
          <w:szCs w:val="28"/>
          <w:u w:val="single"/>
          <w:vertAlign w:val="superscript"/>
        </w:rPr>
        <w:t>2</w:t>
      </w:r>
      <w:r>
        <w:rPr>
          <w:rFonts w:hint="eastAsia" w:ascii="宋体" w:hAnsi="宋体" w:eastAsia="宋体" w:cs="宋体"/>
          <w:sz w:val="28"/>
          <w:szCs w:val="28"/>
          <w:u w:val="single"/>
        </w:rPr>
        <w:t>；双创园B区12909m</w:t>
      </w:r>
      <w:r>
        <w:rPr>
          <w:rFonts w:hint="eastAsia" w:ascii="宋体" w:hAnsi="宋体" w:eastAsia="宋体" w:cs="宋体"/>
          <w:sz w:val="28"/>
          <w:szCs w:val="28"/>
          <w:u w:val="single"/>
          <w:vertAlign w:val="superscript"/>
        </w:rPr>
        <w:t>2</w:t>
      </w:r>
      <w:r>
        <w:rPr>
          <w:rFonts w:hint="eastAsia" w:ascii="宋体" w:hAnsi="宋体" w:eastAsia="宋体" w:cs="宋体"/>
          <w:sz w:val="28"/>
          <w:szCs w:val="28"/>
        </w:rPr>
        <w:t>。</w:t>
      </w:r>
    </w:p>
    <w:p w14:paraId="418AE168">
      <w:pPr>
        <w:spacing w:line="500" w:lineRule="exact"/>
        <w:rPr>
          <w:rFonts w:ascii="宋体" w:hAnsi="宋体" w:eastAsia="宋体" w:cs="宋体"/>
          <w:sz w:val="28"/>
          <w:szCs w:val="28"/>
        </w:rPr>
      </w:pPr>
      <w:r>
        <w:rPr>
          <w:rFonts w:hint="eastAsia" w:ascii="宋体" w:hAnsi="宋体" w:eastAsia="宋体" w:cs="宋体"/>
          <w:b/>
          <w:sz w:val="28"/>
          <w:szCs w:val="28"/>
        </w:rPr>
        <w:t>项目控制价：</w:t>
      </w:r>
      <w:r>
        <w:rPr>
          <w:rFonts w:hint="eastAsia" w:ascii="宋体" w:hAnsi="宋体" w:eastAsia="宋体" w:cs="宋体"/>
          <w:sz w:val="28"/>
          <w:szCs w:val="28"/>
          <w:u w:val="single"/>
        </w:rPr>
        <w:t>167994.00元/年</w:t>
      </w:r>
      <w:r>
        <w:rPr>
          <w:rFonts w:hint="eastAsia" w:ascii="宋体" w:hAnsi="宋体" w:eastAsia="宋体" w:cs="宋体"/>
          <w:sz w:val="28"/>
          <w:szCs w:val="28"/>
        </w:rPr>
        <w:t>。</w:t>
      </w:r>
    </w:p>
    <w:p w14:paraId="2E0F20D8">
      <w:pPr>
        <w:spacing w:line="500" w:lineRule="exact"/>
        <w:rPr>
          <w:rFonts w:ascii="宋体" w:hAnsi="宋体" w:eastAsia="宋体" w:cs="宋体"/>
          <w:sz w:val="28"/>
          <w:szCs w:val="28"/>
        </w:rPr>
      </w:pPr>
      <w:r>
        <w:rPr>
          <w:rFonts w:hint="eastAsia" w:ascii="宋体" w:hAnsi="宋体" w:eastAsia="宋体" w:cs="宋体"/>
          <w:b/>
          <w:sz w:val="28"/>
          <w:szCs w:val="28"/>
        </w:rPr>
        <w:t>服务期限：</w:t>
      </w:r>
      <w:r>
        <w:rPr>
          <w:rFonts w:hint="eastAsia" w:ascii="宋体" w:hAnsi="宋体" w:eastAsia="宋体" w:cs="宋体"/>
          <w:b/>
          <w:sz w:val="28"/>
          <w:szCs w:val="28"/>
          <w:u w:val="single"/>
        </w:rPr>
        <w:t>两年（1+1）</w:t>
      </w:r>
      <w:r>
        <w:rPr>
          <w:rFonts w:hint="eastAsia" w:ascii="宋体" w:hAnsi="宋体" w:eastAsia="宋体" w:cs="宋体"/>
          <w:sz w:val="28"/>
          <w:szCs w:val="28"/>
          <w:u w:val="single"/>
        </w:rPr>
        <w:t>。每年一签，每年合同期满经考核均为良好可续签一年</w:t>
      </w:r>
      <w:r>
        <w:rPr>
          <w:rFonts w:hint="eastAsia" w:ascii="宋体" w:hAnsi="宋体" w:eastAsia="宋体" w:cs="宋体"/>
          <w:sz w:val="28"/>
          <w:szCs w:val="28"/>
        </w:rPr>
        <w:t>。</w:t>
      </w:r>
    </w:p>
    <w:p w14:paraId="45CE79BA">
      <w:pPr>
        <w:spacing w:line="500" w:lineRule="exact"/>
        <w:rPr>
          <w:rFonts w:ascii="宋体" w:hAnsi="宋体" w:eastAsia="宋体" w:cs="宋体"/>
          <w:sz w:val="28"/>
          <w:szCs w:val="28"/>
        </w:rPr>
      </w:pPr>
      <w:r>
        <w:rPr>
          <w:rFonts w:hint="eastAsia" w:ascii="宋体" w:hAnsi="宋体" w:eastAsia="宋体" w:cs="宋体"/>
          <w:b/>
          <w:sz w:val="28"/>
          <w:szCs w:val="28"/>
        </w:rPr>
        <w:t>养护标准：</w:t>
      </w:r>
      <w:r>
        <w:rPr>
          <w:rFonts w:hint="eastAsia" w:ascii="宋体" w:hAnsi="宋体" w:eastAsia="宋体" w:cs="宋体"/>
          <w:sz w:val="28"/>
          <w:szCs w:val="28"/>
          <w:u w:val="single"/>
        </w:rPr>
        <w:t>二级养护</w:t>
      </w:r>
      <w:r>
        <w:rPr>
          <w:rFonts w:hint="eastAsia" w:ascii="宋体" w:hAnsi="宋体" w:eastAsia="宋体" w:cs="宋体"/>
          <w:sz w:val="28"/>
          <w:szCs w:val="28"/>
        </w:rPr>
        <w:t>。</w:t>
      </w:r>
    </w:p>
    <w:p w14:paraId="5632EF57">
      <w:pPr>
        <w:spacing w:line="500" w:lineRule="exact"/>
        <w:rPr>
          <w:rFonts w:ascii="宋体" w:hAnsi="宋体" w:eastAsia="宋体" w:cs="宋体"/>
          <w:b/>
          <w:bCs/>
          <w:sz w:val="28"/>
          <w:szCs w:val="28"/>
        </w:rPr>
      </w:pPr>
      <w:r>
        <w:rPr>
          <w:rFonts w:hint="eastAsia" w:ascii="宋体" w:hAnsi="宋体" w:eastAsia="宋体" w:cs="宋体"/>
          <w:b/>
          <w:bCs/>
          <w:sz w:val="28"/>
          <w:szCs w:val="28"/>
        </w:rPr>
        <w:t>二、投标单位的资格要求</w:t>
      </w:r>
    </w:p>
    <w:p w14:paraId="00F33B66">
      <w:pPr>
        <w:spacing w:line="500" w:lineRule="exact"/>
        <w:rPr>
          <w:rFonts w:ascii="宋体" w:hAnsi="宋体"/>
          <w:sz w:val="28"/>
          <w:szCs w:val="28"/>
        </w:rPr>
      </w:pPr>
      <w:r>
        <w:rPr>
          <w:rFonts w:hint="eastAsia" w:ascii="宋体" w:hAnsi="宋体" w:eastAsia="宋体" w:cs="宋体"/>
          <w:b/>
          <w:bCs/>
          <w:sz w:val="28"/>
          <w:szCs w:val="28"/>
        </w:rPr>
        <w:t>资质要求：</w:t>
      </w:r>
      <w:r>
        <w:rPr>
          <w:rFonts w:hint="eastAsia" w:ascii="宋体" w:hAnsi="宋体"/>
          <w:sz w:val="28"/>
          <w:szCs w:val="28"/>
        </w:rPr>
        <w:t>提供有关劳务资质、安全生产许可证</w:t>
      </w:r>
    </w:p>
    <w:p w14:paraId="37D7297B">
      <w:pPr>
        <w:spacing w:line="500" w:lineRule="exact"/>
        <w:rPr>
          <w:rFonts w:ascii="宋体" w:hAnsi="宋体"/>
          <w:sz w:val="28"/>
          <w:szCs w:val="28"/>
        </w:rPr>
      </w:pPr>
      <w:r>
        <w:rPr>
          <w:rFonts w:hint="eastAsia" w:ascii="宋体" w:hAnsi="宋体" w:eastAsia="宋体" w:cs="宋体"/>
          <w:b/>
          <w:bCs/>
          <w:sz w:val="28"/>
          <w:szCs w:val="28"/>
        </w:rPr>
        <w:t>财务要求：</w:t>
      </w:r>
      <w:r>
        <w:rPr>
          <w:rFonts w:hint="eastAsia" w:ascii="宋体" w:hAnsi="宋体"/>
          <w:sz w:val="28"/>
          <w:szCs w:val="28"/>
        </w:rPr>
        <w:t>投标企业</w:t>
      </w:r>
      <w:r>
        <w:rPr>
          <w:rFonts w:ascii="宋体" w:hAnsi="宋体"/>
          <w:sz w:val="28"/>
          <w:szCs w:val="28"/>
        </w:rPr>
        <w:t>未处于被责令停业、投标资格被取消或</w:t>
      </w:r>
      <w:r>
        <w:rPr>
          <w:rFonts w:hint="eastAsia" w:ascii="宋体" w:hAnsi="宋体"/>
          <w:sz w:val="28"/>
          <w:szCs w:val="28"/>
        </w:rPr>
        <w:t>财务</w:t>
      </w:r>
      <w:r>
        <w:rPr>
          <w:rFonts w:ascii="宋体" w:hAnsi="宋体"/>
          <w:sz w:val="28"/>
          <w:szCs w:val="28"/>
        </w:rPr>
        <w:t>被接管、冻结和破产状态</w:t>
      </w:r>
    </w:p>
    <w:p w14:paraId="56C36394">
      <w:pPr>
        <w:spacing w:line="500" w:lineRule="exact"/>
        <w:rPr>
          <w:rFonts w:ascii="宋体" w:hAnsi="宋体" w:eastAsia="宋体" w:cs="宋体"/>
          <w:sz w:val="28"/>
          <w:szCs w:val="28"/>
        </w:rPr>
      </w:pPr>
      <w:r>
        <w:rPr>
          <w:rFonts w:hint="eastAsia" w:ascii="宋体" w:hAnsi="宋体" w:eastAsia="宋体" w:cs="宋体"/>
          <w:b/>
          <w:bCs/>
          <w:sz w:val="28"/>
          <w:szCs w:val="28"/>
        </w:rPr>
        <w:t>业绩要求：</w:t>
      </w:r>
      <w:r>
        <w:rPr>
          <w:rFonts w:hint="eastAsia" w:ascii="宋体" w:hAnsi="宋体" w:eastAsia="宋体" w:cs="宋体"/>
          <w:sz w:val="28"/>
          <w:szCs w:val="28"/>
        </w:rPr>
        <w:t xml:space="preserve">有类似劳务养护经验   </w:t>
      </w:r>
    </w:p>
    <w:p w14:paraId="15070833">
      <w:pPr>
        <w:spacing w:line="500" w:lineRule="exact"/>
        <w:rPr>
          <w:rFonts w:ascii="宋体" w:hAnsi="宋体" w:eastAsia="宋体" w:cs="宋体"/>
          <w:sz w:val="28"/>
          <w:szCs w:val="28"/>
        </w:rPr>
      </w:pPr>
      <w:r>
        <w:rPr>
          <w:rFonts w:hint="eastAsia" w:ascii="宋体" w:hAnsi="宋体" w:eastAsia="宋体" w:cs="宋体"/>
          <w:b/>
          <w:bCs/>
          <w:sz w:val="28"/>
          <w:szCs w:val="28"/>
        </w:rPr>
        <w:t>信誉要求：</w:t>
      </w:r>
      <w:r>
        <w:rPr>
          <w:rFonts w:ascii="宋体" w:hAnsi="宋体"/>
          <w:sz w:val="28"/>
          <w:szCs w:val="28"/>
        </w:rPr>
        <w:t>企业没有因骗取中标、严重违约或违规使用农民工、拖欠农民工工资以及发生重大工程质量、安全事故等问题，被有关部门暂停投标资格并在暂停期内的</w:t>
      </w:r>
    </w:p>
    <w:p w14:paraId="6BBBC98F">
      <w:pPr>
        <w:spacing w:line="500" w:lineRule="exact"/>
        <w:rPr>
          <w:rFonts w:ascii="宋体" w:hAnsi="宋体" w:eastAsia="宋体" w:cs="宋体"/>
          <w:sz w:val="28"/>
          <w:szCs w:val="28"/>
        </w:rPr>
      </w:pPr>
      <w:r>
        <w:rPr>
          <w:rFonts w:hint="eastAsia" w:ascii="宋体" w:hAnsi="宋体" w:eastAsia="宋体" w:cs="宋体"/>
          <w:b/>
          <w:bCs/>
          <w:sz w:val="28"/>
          <w:szCs w:val="28"/>
        </w:rPr>
        <w:t>主要人员要求：</w:t>
      </w:r>
      <w:r>
        <w:rPr>
          <w:rFonts w:hint="eastAsia" w:ascii="宋体" w:hAnsi="宋体" w:eastAsia="宋体" w:cs="宋体"/>
          <w:sz w:val="28"/>
          <w:szCs w:val="28"/>
        </w:rPr>
        <w:t>中标的劳务单位必须匹配相应的养护人员</w:t>
      </w:r>
    </w:p>
    <w:p w14:paraId="20FBFE82">
      <w:pPr>
        <w:spacing w:line="500" w:lineRule="exact"/>
        <w:rPr>
          <w:rFonts w:ascii="宋体" w:hAnsi="宋体" w:eastAsia="宋体" w:cs="宋体"/>
          <w:sz w:val="28"/>
          <w:szCs w:val="28"/>
        </w:rPr>
      </w:pPr>
      <w:r>
        <w:rPr>
          <w:rFonts w:hint="eastAsia" w:ascii="宋体" w:hAnsi="宋体" w:eastAsia="宋体" w:cs="宋体"/>
          <w:b/>
          <w:bCs/>
          <w:sz w:val="28"/>
          <w:szCs w:val="28"/>
        </w:rPr>
        <w:t>其他要求：</w:t>
      </w:r>
      <w:r>
        <w:rPr>
          <w:rFonts w:hint="eastAsia" w:ascii="宋体" w:hAnsi="宋体" w:eastAsia="宋体" w:cs="宋体"/>
          <w:sz w:val="28"/>
          <w:szCs w:val="28"/>
        </w:rPr>
        <w:t>无</w:t>
      </w:r>
    </w:p>
    <w:p w14:paraId="7FB82302">
      <w:pPr>
        <w:spacing w:line="500" w:lineRule="exact"/>
        <w:rPr>
          <w:rFonts w:ascii="宋体" w:hAnsi="宋体" w:eastAsia="宋体" w:cs="宋体"/>
          <w:sz w:val="28"/>
          <w:szCs w:val="28"/>
        </w:rPr>
      </w:pPr>
      <w:r>
        <w:rPr>
          <w:rFonts w:hint="eastAsia" w:ascii="宋体" w:hAnsi="宋体" w:eastAsia="宋体" w:cs="宋体"/>
          <w:b/>
          <w:bCs/>
          <w:sz w:val="28"/>
          <w:szCs w:val="28"/>
        </w:rPr>
        <w:t>本项目是否接受联合体：</w:t>
      </w:r>
      <w:r>
        <w:rPr>
          <w:rFonts w:hint="eastAsia" w:ascii="宋体" w:hAnsi="宋体" w:eastAsia="宋体" w:cs="宋体"/>
          <w:sz w:val="28"/>
          <w:szCs w:val="28"/>
        </w:rPr>
        <w:sym w:font="Wingdings 2" w:char="00A3"/>
      </w:r>
      <w:r>
        <w:rPr>
          <w:rFonts w:hint="eastAsia" w:ascii="宋体" w:hAnsi="宋体" w:eastAsia="宋体" w:cs="宋体"/>
          <w:sz w:val="28"/>
          <w:szCs w:val="28"/>
        </w:rPr>
        <w:t xml:space="preserve">接受   </w:t>
      </w:r>
      <w:r>
        <w:rPr>
          <w:rFonts w:hint="eastAsia" w:ascii="宋体" w:hAnsi="宋体" w:eastAsia="宋体" w:cs="宋体"/>
          <w:sz w:val="28"/>
          <w:szCs w:val="28"/>
        </w:rPr>
        <w:sym w:font="Wingdings 2" w:char="0052"/>
      </w:r>
      <w:r>
        <w:rPr>
          <w:rFonts w:hint="eastAsia" w:ascii="宋体" w:hAnsi="宋体" w:eastAsia="宋体" w:cs="宋体"/>
          <w:sz w:val="28"/>
          <w:szCs w:val="28"/>
        </w:rPr>
        <w:t>不接受</w:t>
      </w:r>
    </w:p>
    <w:p w14:paraId="3A27550B">
      <w:pPr>
        <w:spacing w:line="500" w:lineRule="exact"/>
        <w:rPr>
          <w:rFonts w:ascii="宋体" w:hAnsi="宋体" w:eastAsia="宋体" w:cs="宋体"/>
          <w:sz w:val="28"/>
          <w:szCs w:val="28"/>
        </w:rPr>
      </w:pPr>
      <w:r>
        <w:rPr>
          <w:rFonts w:hint="eastAsia" w:ascii="宋体" w:hAnsi="宋体" w:eastAsia="宋体" w:cs="宋体"/>
          <w:sz w:val="28"/>
          <w:szCs w:val="28"/>
        </w:rPr>
        <w:t>组成联合体的，应满足下列要求：【无】</w:t>
      </w:r>
    </w:p>
    <w:p w14:paraId="5073B811">
      <w:pPr>
        <w:spacing w:line="500" w:lineRule="exact"/>
        <w:rPr>
          <w:rFonts w:ascii="宋体" w:hAnsi="宋体" w:eastAsia="宋体" w:cs="宋体"/>
          <w:b/>
          <w:bCs/>
          <w:sz w:val="28"/>
          <w:szCs w:val="28"/>
        </w:rPr>
      </w:pPr>
      <w:r>
        <w:rPr>
          <w:rFonts w:hint="eastAsia" w:ascii="宋体" w:hAnsi="宋体" w:eastAsia="宋体" w:cs="宋体"/>
          <w:b/>
          <w:bCs/>
          <w:sz w:val="28"/>
          <w:szCs w:val="28"/>
        </w:rPr>
        <w:t>三、获取竞价文件</w:t>
      </w:r>
    </w:p>
    <w:p w14:paraId="22664A3C">
      <w:pPr>
        <w:spacing w:line="500" w:lineRule="exact"/>
        <w:rPr>
          <w:rFonts w:ascii="宋体" w:hAnsi="宋体" w:eastAsia="宋体" w:cs="宋体"/>
          <w:sz w:val="28"/>
          <w:szCs w:val="28"/>
        </w:rPr>
      </w:pPr>
      <w:r>
        <w:rPr>
          <w:rFonts w:hint="eastAsia" w:ascii="宋体" w:hAnsi="宋体" w:eastAsia="宋体" w:cs="宋体"/>
          <w:b/>
          <w:bCs/>
          <w:sz w:val="28"/>
          <w:szCs w:val="28"/>
        </w:rPr>
        <w:t>获取时间：</w:t>
      </w:r>
      <w:r>
        <w:rPr>
          <w:rFonts w:hint="eastAsia" w:ascii="宋体" w:hAnsi="宋体" w:eastAsia="宋体" w:cs="宋体"/>
          <w:sz w:val="28"/>
          <w:szCs w:val="28"/>
        </w:rPr>
        <w:t xml:space="preserve"> 2025 年  </w:t>
      </w:r>
      <w:r>
        <w:rPr>
          <w:rFonts w:hint="eastAsia" w:ascii="宋体" w:hAnsi="宋体" w:eastAsia="宋体" w:cs="宋体"/>
          <w:sz w:val="28"/>
          <w:szCs w:val="28"/>
          <w:lang w:val="en-US" w:eastAsia="zh-CN"/>
        </w:rPr>
        <w:t>10</w:t>
      </w:r>
      <w:r>
        <w:rPr>
          <w:rFonts w:hint="eastAsia" w:ascii="宋体" w:hAnsi="宋体" w:eastAsia="宋体" w:cs="宋体"/>
          <w:sz w:val="28"/>
          <w:szCs w:val="28"/>
        </w:rPr>
        <w:t xml:space="preserve"> 月 </w:t>
      </w:r>
      <w:r>
        <w:rPr>
          <w:rFonts w:hint="eastAsia" w:ascii="宋体" w:hAnsi="宋体" w:eastAsia="宋体" w:cs="宋体"/>
          <w:sz w:val="28"/>
          <w:szCs w:val="28"/>
          <w:lang w:val="en-US" w:eastAsia="zh-CN"/>
        </w:rPr>
        <w:t>27</w:t>
      </w:r>
      <w:r>
        <w:rPr>
          <w:rFonts w:hint="eastAsia" w:ascii="宋体" w:hAnsi="宋体" w:eastAsia="宋体" w:cs="宋体"/>
          <w:sz w:val="28"/>
          <w:szCs w:val="28"/>
        </w:rPr>
        <w:t xml:space="preserve">日至 2025 年 </w:t>
      </w:r>
      <w:r>
        <w:rPr>
          <w:rFonts w:hint="eastAsia" w:ascii="宋体" w:hAnsi="宋体" w:eastAsia="宋体" w:cs="宋体"/>
          <w:sz w:val="28"/>
          <w:szCs w:val="28"/>
          <w:lang w:val="en-US" w:eastAsia="zh-CN"/>
        </w:rPr>
        <w:t>11</w:t>
      </w:r>
      <w:r>
        <w:rPr>
          <w:rFonts w:hint="eastAsia" w:ascii="宋体" w:hAnsi="宋体" w:eastAsia="宋体" w:cs="宋体"/>
          <w:sz w:val="28"/>
          <w:szCs w:val="28"/>
        </w:rPr>
        <w:t xml:space="preserve">月 </w:t>
      </w:r>
      <w:r>
        <w:rPr>
          <w:rFonts w:hint="eastAsia" w:ascii="宋体" w:hAnsi="宋体" w:eastAsia="宋体" w:cs="宋体"/>
          <w:sz w:val="28"/>
          <w:szCs w:val="28"/>
          <w:lang w:val="en-US" w:eastAsia="zh-CN"/>
        </w:rPr>
        <w:t>2</w:t>
      </w:r>
      <w:r>
        <w:rPr>
          <w:rFonts w:hint="eastAsia" w:ascii="宋体" w:hAnsi="宋体" w:eastAsia="宋体" w:cs="宋体"/>
          <w:sz w:val="28"/>
          <w:szCs w:val="28"/>
        </w:rPr>
        <w:t>日(文件的发售期限自开始之日起不得少于5个工作日，每天上午8:00至12:00，下午14:30至17:30(北京时间，法定节假日除外)</w:t>
      </w:r>
    </w:p>
    <w:p w14:paraId="7B967A79">
      <w:pPr>
        <w:spacing w:line="500" w:lineRule="exact"/>
        <w:rPr>
          <w:rFonts w:ascii="宋体" w:hAnsi="宋体" w:eastAsia="宋体" w:cs="宋体"/>
          <w:sz w:val="28"/>
          <w:szCs w:val="28"/>
        </w:rPr>
      </w:pPr>
      <w:r>
        <w:rPr>
          <w:rFonts w:hint="eastAsia" w:ascii="宋体" w:hAnsi="宋体" w:eastAsia="宋体" w:cs="宋体"/>
          <w:b/>
          <w:bCs/>
          <w:sz w:val="28"/>
          <w:szCs w:val="28"/>
        </w:rPr>
        <w:t>获取地点：</w:t>
      </w:r>
      <w:r>
        <w:rPr>
          <w:rFonts w:hint="eastAsia" w:ascii="宋体" w:hAnsi="宋体" w:eastAsia="宋体" w:cs="宋体"/>
          <w:sz w:val="28"/>
          <w:szCs w:val="28"/>
        </w:rPr>
        <w:t>桐城经开区建投集团五楼招投标办公室</w:t>
      </w:r>
    </w:p>
    <w:p w14:paraId="03FDC10F">
      <w:pPr>
        <w:spacing w:line="500" w:lineRule="exact"/>
        <w:rPr>
          <w:rFonts w:ascii="宋体" w:hAnsi="宋体" w:eastAsia="宋体" w:cs="宋体"/>
          <w:sz w:val="28"/>
          <w:szCs w:val="28"/>
        </w:rPr>
      </w:pPr>
      <w:r>
        <w:rPr>
          <w:rFonts w:hint="eastAsia" w:ascii="宋体" w:hAnsi="宋体" w:eastAsia="宋体" w:cs="宋体"/>
          <w:b/>
          <w:bCs/>
          <w:sz w:val="28"/>
          <w:szCs w:val="28"/>
        </w:rPr>
        <w:t>文件售价：</w:t>
      </w:r>
      <w:r>
        <w:rPr>
          <w:rFonts w:hint="eastAsia" w:ascii="宋体" w:hAnsi="宋体" w:eastAsia="宋体" w:cs="宋体"/>
          <w:sz w:val="28"/>
          <w:szCs w:val="28"/>
        </w:rPr>
        <w:t>【无】</w:t>
      </w:r>
    </w:p>
    <w:p w14:paraId="044B5170">
      <w:pPr>
        <w:spacing w:line="500" w:lineRule="exact"/>
        <w:rPr>
          <w:rFonts w:ascii="宋体" w:hAnsi="宋体" w:eastAsia="宋体" w:cs="宋体"/>
          <w:sz w:val="28"/>
          <w:szCs w:val="28"/>
        </w:rPr>
      </w:pPr>
      <w:r>
        <w:rPr>
          <w:rFonts w:hint="eastAsia" w:ascii="宋体" w:hAnsi="宋体" w:eastAsia="宋体" w:cs="宋体"/>
          <w:b/>
          <w:sz w:val="28"/>
          <w:szCs w:val="28"/>
        </w:rPr>
        <w:t>资格审查方式：</w:t>
      </w:r>
      <w:r>
        <w:rPr>
          <w:rFonts w:hint="eastAsia" w:ascii="宋体" w:hAnsi="宋体" w:eastAsia="宋体" w:cs="宋体"/>
          <w:sz w:val="28"/>
          <w:szCs w:val="28"/>
        </w:rPr>
        <w:t xml:space="preserve">资格先审。投标单位于2025年 </w:t>
      </w:r>
      <w:r>
        <w:rPr>
          <w:rFonts w:hint="eastAsia" w:ascii="宋体" w:hAnsi="宋体" w:eastAsia="宋体" w:cs="宋体"/>
          <w:sz w:val="28"/>
          <w:szCs w:val="28"/>
          <w:lang w:val="en-US" w:eastAsia="zh-CN"/>
        </w:rPr>
        <w:t>10</w:t>
      </w:r>
      <w:r>
        <w:rPr>
          <w:rFonts w:hint="eastAsia" w:ascii="宋体" w:hAnsi="宋体" w:eastAsia="宋体" w:cs="宋体"/>
          <w:sz w:val="28"/>
          <w:szCs w:val="28"/>
        </w:rPr>
        <w:t xml:space="preserve"> 月  </w:t>
      </w:r>
      <w:r>
        <w:rPr>
          <w:rFonts w:hint="eastAsia" w:ascii="宋体" w:hAnsi="宋体" w:eastAsia="宋体" w:cs="宋体"/>
          <w:sz w:val="28"/>
          <w:szCs w:val="28"/>
          <w:lang w:val="en-US" w:eastAsia="zh-CN"/>
        </w:rPr>
        <w:t>31</w:t>
      </w:r>
      <w:r>
        <w:rPr>
          <w:rFonts w:hint="eastAsia" w:ascii="宋体" w:hAnsi="宋体" w:eastAsia="宋体" w:cs="宋体"/>
          <w:sz w:val="28"/>
          <w:szCs w:val="28"/>
        </w:rPr>
        <w:t xml:space="preserve"> 日下午17时前提交资格审查文件，逾期提交拒收。招标单位和招标办对所有资格文件进行资格审查，只有通过招标单位和招标办资格审查后的投标人方可交纳投标保证金进行项目投标报价。开标现场对投标单位的资格进行复查，不符合要求的，退回投标文件。资格审查文件提交地点：桐城经开区建设投资集团有限公司五楼招投标办公室。联系人：胡先生13865108771</w:t>
      </w:r>
    </w:p>
    <w:p w14:paraId="26ADD9A0">
      <w:pPr>
        <w:spacing w:line="500" w:lineRule="exact"/>
        <w:rPr>
          <w:rFonts w:ascii="宋体" w:hAnsi="宋体" w:eastAsia="宋体" w:cs="宋体"/>
          <w:bCs/>
          <w:sz w:val="28"/>
          <w:szCs w:val="28"/>
        </w:rPr>
      </w:pPr>
      <w:r>
        <w:rPr>
          <w:rFonts w:hint="eastAsia" w:ascii="宋体" w:hAnsi="宋体" w:eastAsia="宋体" w:cs="宋体"/>
          <w:b/>
          <w:bCs/>
          <w:sz w:val="28"/>
          <w:szCs w:val="28"/>
        </w:rPr>
        <w:t>四、竞价投标保证金及退还：</w:t>
      </w:r>
      <w:r>
        <w:rPr>
          <w:rFonts w:hint="eastAsia" w:ascii="宋体" w:hAnsi="宋体" w:eastAsia="宋体" w:cs="宋体"/>
          <w:bCs/>
          <w:sz w:val="28"/>
          <w:szCs w:val="28"/>
        </w:rPr>
        <w:t>人民币</w:t>
      </w:r>
      <w:r>
        <w:rPr>
          <w:rFonts w:hint="eastAsia" w:ascii="宋体" w:hAnsi="宋体" w:eastAsia="宋体" w:cs="宋体"/>
          <w:bCs/>
          <w:sz w:val="28"/>
          <w:szCs w:val="28"/>
          <w:u w:val="single"/>
        </w:rPr>
        <w:t>叁仟元整（￥：3000.00元）</w:t>
      </w:r>
      <w:r>
        <w:rPr>
          <w:rFonts w:hint="eastAsia" w:ascii="宋体" w:hAnsi="宋体" w:eastAsia="宋体" w:cs="宋体"/>
          <w:bCs/>
          <w:sz w:val="28"/>
          <w:szCs w:val="28"/>
        </w:rPr>
        <w:t>，投标人在报价截止时间前须将保证金从投标人基本账户缴至桐城市天正园林绿化工程有限公司账户，不得从其他账户转入（转帐时须备注项目名称）。保证金须在报价截止时间前到达指定账户，否则不接收投标文件。未中标的投标保证金一星期内退还（不计息）。</w:t>
      </w:r>
    </w:p>
    <w:p w14:paraId="0A277410">
      <w:pPr>
        <w:spacing w:line="500" w:lineRule="exact"/>
        <w:rPr>
          <w:rFonts w:ascii="宋体" w:hAnsi="宋体" w:eastAsia="宋体" w:cs="宋体"/>
          <w:bCs/>
          <w:sz w:val="28"/>
          <w:szCs w:val="28"/>
        </w:rPr>
      </w:pPr>
      <w:r>
        <w:rPr>
          <w:rFonts w:hint="eastAsia" w:ascii="宋体" w:hAnsi="宋体" w:eastAsia="宋体" w:cs="宋体"/>
          <w:b/>
          <w:bCs/>
          <w:sz w:val="28"/>
          <w:szCs w:val="28"/>
        </w:rPr>
        <w:t>收款单位名称：</w:t>
      </w:r>
      <w:r>
        <w:rPr>
          <w:rFonts w:hint="eastAsia" w:ascii="宋体" w:hAnsi="宋体" w:eastAsia="宋体" w:cs="宋体"/>
          <w:bCs/>
          <w:sz w:val="28"/>
          <w:szCs w:val="28"/>
        </w:rPr>
        <w:t>桐城市天正园林绿化工程有限公司</w:t>
      </w:r>
    </w:p>
    <w:p w14:paraId="78AF03E7">
      <w:pPr>
        <w:spacing w:line="500" w:lineRule="exact"/>
        <w:rPr>
          <w:rFonts w:ascii="宋体" w:hAnsi="宋体" w:eastAsia="宋体" w:cs="宋体"/>
          <w:bCs/>
          <w:sz w:val="28"/>
          <w:szCs w:val="28"/>
        </w:rPr>
      </w:pPr>
      <w:r>
        <w:rPr>
          <w:rFonts w:hint="eastAsia" w:ascii="宋体" w:hAnsi="宋体" w:eastAsia="宋体" w:cs="宋体"/>
          <w:b/>
          <w:bCs/>
          <w:sz w:val="28"/>
          <w:szCs w:val="28"/>
        </w:rPr>
        <w:t>开户银行:</w:t>
      </w:r>
      <w:r>
        <w:rPr>
          <w:rFonts w:hint="eastAsia" w:ascii="宋体" w:hAnsi="宋体" w:eastAsia="宋体" w:cs="宋体"/>
          <w:bCs/>
          <w:sz w:val="28"/>
          <w:szCs w:val="28"/>
        </w:rPr>
        <w:t>安徽桐城农商行和平支行</w:t>
      </w:r>
    </w:p>
    <w:p w14:paraId="6BA22A37">
      <w:pPr>
        <w:spacing w:line="500" w:lineRule="exact"/>
        <w:rPr>
          <w:rFonts w:ascii="宋体" w:hAnsi="宋体" w:eastAsia="宋体" w:cs="宋体"/>
          <w:bCs/>
          <w:sz w:val="28"/>
          <w:szCs w:val="28"/>
        </w:rPr>
      </w:pPr>
      <w:r>
        <w:rPr>
          <w:rFonts w:hint="eastAsia" w:ascii="宋体" w:hAnsi="宋体" w:eastAsia="宋体" w:cs="宋体"/>
          <w:b/>
          <w:bCs/>
          <w:sz w:val="28"/>
          <w:szCs w:val="28"/>
        </w:rPr>
        <w:t>收款账号：</w:t>
      </w:r>
      <w:r>
        <w:rPr>
          <w:rFonts w:hint="eastAsia" w:ascii="宋体" w:hAnsi="宋体" w:eastAsia="宋体" w:cs="宋体"/>
          <w:bCs/>
          <w:sz w:val="28"/>
          <w:szCs w:val="28"/>
        </w:rPr>
        <w:t>20000381300910300000018</w:t>
      </w:r>
      <w:bookmarkStart w:id="2" w:name="_GoBack"/>
      <w:bookmarkEnd w:id="2"/>
    </w:p>
    <w:p w14:paraId="463F5916">
      <w:pPr>
        <w:spacing w:line="500" w:lineRule="exact"/>
        <w:rPr>
          <w:rFonts w:ascii="宋体" w:hAnsi="宋体" w:eastAsia="宋体" w:cs="宋体"/>
          <w:b/>
          <w:bCs/>
          <w:sz w:val="28"/>
          <w:szCs w:val="28"/>
        </w:rPr>
      </w:pPr>
      <w:r>
        <w:rPr>
          <w:rFonts w:hint="eastAsia" w:ascii="宋体" w:hAnsi="宋体" w:eastAsia="宋体" w:cs="宋体"/>
          <w:b/>
          <w:bCs/>
          <w:sz w:val="28"/>
          <w:szCs w:val="28"/>
        </w:rPr>
        <w:t>五、竟价响应文件提交</w:t>
      </w:r>
    </w:p>
    <w:p w14:paraId="0C7074E7">
      <w:pPr>
        <w:spacing w:line="500" w:lineRule="exact"/>
        <w:ind w:firstLine="562" w:firstLineChars="200"/>
        <w:rPr>
          <w:rFonts w:ascii="宋体" w:hAnsi="宋体" w:eastAsia="宋体" w:cs="宋体"/>
          <w:sz w:val="28"/>
          <w:szCs w:val="28"/>
        </w:rPr>
      </w:pPr>
      <w:r>
        <w:rPr>
          <w:rFonts w:hint="eastAsia" w:ascii="宋体" w:hAnsi="宋体" w:eastAsia="宋体" w:cs="宋体"/>
          <w:b/>
          <w:bCs/>
          <w:sz w:val="28"/>
          <w:szCs w:val="28"/>
        </w:rPr>
        <w:t>截止时间：</w:t>
      </w:r>
      <w:r>
        <w:rPr>
          <w:rFonts w:hint="eastAsia" w:ascii="宋体" w:hAnsi="宋体" w:eastAsia="宋体" w:cs="宋体"/>
          <w:sz w:val="28"/>
          <w:szCs w:val="28"/>
        </w:rPr>
        <w:t xml:space="preserve">2025 年 </w:t>
      </w:r>
      <w:r>
        <w:rPr>
          <w:rFonts w:hint="eastAsia" w:ascii="宋体" w:hAnsi="宋体" w:eastAsia="宋体" w:cs="宋体"/>
          <w:sz w:val="28"/>
          <w:szCs w:val="28"/>
          <w:lang w:val="en-US" w:eastAsia="zh-CN"/>
        </w:rPr>
        <w:t>11</w:t>
      </w:r>
      <w:r>
        <w:rPr>
          <w:rFonts w:hint="eastAsia" w:ascii="宋体" w:hAnsi="宋体" w:eastAsia="宋体" w:cs="宋体"/>
          <w:sz w:val="28"/>
          <w:szCs w:val="28"/>
        </w:rPr>
        <w:t xml:space="preserve">月  </w:t>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 日</w:t>
      </w:r>
      <w:r>
        <w:rPr>
          <w:rFonts w:hint="eastAsia" w:ascii="宋体" w:hAnsi="宋体" w:eastAsia="宋体" w:cs="宋体"/>
          <w:sz w:val="28"/>
          <w:szCs w:val="28"/>
          <w:u w:val="single"/>
        </w:rPr>
        <w:t xml:space="preserve"> 15 时  00 </w:t>
      </w:r>
      <w:r>
        <w:rPr>
          <w:rFonts w:hint="eastAsia" w:ascii="宋体" w:hAnsi="宋体" w:eastAsia="宋体" w:cs="宋体"/>
          <w:sz w:val="28"/>
          <w:szCs w:val="28"/>
        </w:rPr>
        <w:t>分(北京时间)(从竞价文件开始发出之日起至投标单位提交竟价响应文件截止之日止不得少于5个工作日)</w:t>
      </w:r>
    </w:p>
    <w:p w14:paraId="3E29B4B8">
      <w:pPr>
        <w:spacing w:line="500" w:lineRule="exact"/>
        <w:ind w:firstLine="562" w:firstLineChars="200"/>
        <w:rPr>
          <w:rFonts w:ascii="宋体" w:hAnsi="宋体" w:eastAsia="宋体" w:cs="宋体"/>
          <w:sz w:val="28"/>
          <w:szCs w:val="28"/>
        </w:rPr>
      </w:pPr>
      <w:r>
        <w:rPr>
          <w:rFonts w:hint="eastAsia" w:ascii="宋体" w:hAnsi="宋体" w:eastAsia="宋体" w:cs="宋体"/>
          <w:b/>
          <w:bCs/>
          <w:sz w:val="28"/>
          <w:szCs w:val="28"/>
        </w:rPr>
        <w:t>提交文件地点：</w:t>
      </w:r>
      <w:r>
        <w:rPr>
          <w:rFonts w:hint="eastAsia" w:ascii="宋体" w:hAnsi="宋体" w:eastAsia="宋体" w:cs="宋体"/>
          <w:sz w:val="28"/>
          <w:szCs w:val="28"/>
        </w:rPr>
        <w:t>桐城经开区建投集团五楼招投标办公室</w:t>
      </w:r>
    </w:p>
    <w:p w14:paraId="4D7976A4">
      <w:pPr>
        <w:spacing w:line="500" w:lineRule="exact"/>
        <w:rPr>
          <w:rFonts w:ascii="宋体" w:hAnsi="宋体" w:eastAsia="宋体" w:cs="宋体"/>
          <w:b/>
          <w:bCs/>
          <w:sz w:val="28"/>
          <w:szCs w:val="28"/>
        </w:rPr>
      </w:pPr>
      <w:r>
        <w:rPr>
          <w:rFonts w:hint="eastAsia" w:ascii="宋体" w:hAnsi="宋体" w:eastAsia="宋体" w:cs="宋体"/>
          <w:b/>
          <w:bCs/>
          <w:sz w:val="28"/>
          <w:szCs w:val="28"/>
        </w:rPr>
        <w:t>六、竟价响应文件开启</w:t>
      </w:r>
    </w:p>
    <w:p w14:paraId="207A15CE">
      <w:pPr>
        <w:spacing w:line="500" w:lineRule="exact"/>
        <w:ind w:firstLine="562" w:firstLineChars="200"/>
        <w:rPr>
          <w:rFonts w:ascii="宋体" w:hAnsi="宋体" w:eastAsia="宋体" w:cs="宋体"/>
          <w:sz w:val="28"/>
          <w:szCs w:val="28"/>
        </w:rPr>
      </w:pPr>
      <w:r>
        <w:rPr>
          <w:rFonts w:hint="eastAsia" w:ascii="宋体" w:hAnsi="宋体" w:eastAsia="宋体" w:cs="宋体"/>
          <w:b/>
          <w:bCs/>
          <w:sz w:val="28"/>
          <w:szCs w:val="28"/>
        </w:rPr>
        <w:t>时间：</w:t>
      </w:r>
      <w:r>
        <w:rPr>
          <w:rFonts w:hint="eastAsia" w:ascii="宋体" w:hAnsi="宋体" w:eastAsia="宋体" w:cs="宋体"/>
          <w:sz w:val="28"/>
          <w:szCs w:val="28"/>
        </w:rPr>
        <w:t xml:space="preserve">2025年  </w:t>
      </w:r>
      <w:r>
        <w:rPr>
          <w:rFonts w:hint="eastAsia" w:ascii="宋体" w:hAnsi="宋体" w:eastAsia="宋体" w:cs="宋体"/>
          <w:sz w:val="28"/>
          <w:szCs w:val="28"/>
          <w:lang w:val="en-US" w:eastAsia="zh-CN"/>
        </w:rPr>
        <w:t>11</w:t>
      </w:r>
      <w:r>
        <w:rPr>
          <w:rFonts w:hint="eastAsia" w:ascii="宋体" w:hAnsi="宋体" w:eastAsia="宋体" w:cs="宋体"/>
          <w:sz w:val="28"/>
          <w:szCs w:val="28"/>
        </w:rPr>
        <w:t xml:space="preserve"> 月 </w:t>
      </w:r>
      <w:r>
        <w:rPr>
          <w:rFonts w:hint="eastAsia" w:ascii="宋体" w:hAnsi="宋体" w:eastAsia="宋体" w:cs="宋体"/>
          <w:sz w:val="28"/>
          <w:szCs w:val="28"/>
          <w:lang w:val="en-US" w:eastAsia="zh-CN"/>
        </w:rPr>
        <w:t>3</w:t>
      </w:r>
      <w:r>
        <w:rPr>
          <w:rFonts w:hint="eastAsia" w:ascii="宋体" w:hAnsi="宋体" w:eastAsia="宋体" w:cs="宋体"/>
          <w:sz w:val="28"/>
          <w:szCs w:val="28"/>
        </w:rPr>
        <w:t xml:space="preserve"> 日15时00分(北京时间)</w:t>
      </w:r>
    </w:p>
    <w:p w14:paraId="317F8A05">
      <w:pPr>
        <w:spacing w:line="500" w:lineRule="exact"/>
        <w:ind w:firstLine="562" w:firstLineChars="200"/>
        <w:rPr>
          <w:rFonts w:ascii="宋体" w:hAnsi="宋体" w:eastAsia="宋体" w:cs="宋体"/>
          <w:sz w:val="28"/>
          <w:szCs w:val="28"/>
        </w:rPr>
      </w:pPr>
      <w:r>
        <w:rPr>
          <w:rFonts w:hint="eastAsia" w:ascii="宋体" w:hAnsi="宋体" w:eastAsia="宋体" w:cs="宋体"/>
          <w:b/>
          <w:bCs/>
          <w:sz w:val="28"/>
          <w:szCs w:val="28"/>
        </w:rPr>
        <w:t>地点：</w:t>
      </w:r>
      <w:r>
        <w:rPr>
          <w:rFonts w:hint="eastAsia" w:ascii="宋体" w:hAnsi="宋体" w:eastAsia="宋体" w:cs="宋体"/>
          <w:sz w:val="28"/>
          <w:szCs w:val="28"/>
        </w:rPr>
        <w:t>桐城经开区建投集团五楼招投标办公室</w:t>
      </w:r>
    </w:p>
    <w:p w14:paraId="34444CFF">
      <w:pPr>
        <w:spacing w:line="500" w:lineRule="exact"/>
        <w:rPr>
          <w:rFonts w:ascii="宋体" w:hAnsi="宋体" w:eastAsia="宋体" w:cs="宋体"/>
          <w:b/>
          <w:bCs/>
          <w:sz w:val="28"/>
          <w:szCs w:val="28"/>
        </w:rPr>
      </w:pPr>
      <w:r>
        <w:rPr>
          <w:rFonts w:hint="eastAsia" w:ascii="宋体" w:hAnsi="宋体" w:eastAsia="宋体" w:cs="宋体"/>
          <w:b/>
          <w:bCs/>
          <w:sz w:val="28"/>
          <w:szCs w:val="28"/>
        </w:rPr>
        <w:t>七、评标方法：合理低价法</w:t>
      </w:r>
    </w:p>
    <w:p w14:paraId="1C4119CE">
      <w:pPr>
        <w:spacing w:line="500" w:lineRule="exact"/>
        <w:rPr>
          <w:rFonts w:ascii="宋体" w:hAnsi="宋体" w:eastAsia="宋体" w:cs="宋体"/>
          <w:b/>
          <w:bCs/>
          <w:sz w:val="28"/>
          <w:szCs w:val="28"/>
        </w:rPr>
      </w:pPr>
      <w:r>
        <w:rPr>
          <w:rFonts w:hint="eastAsia" w:ascii="宋体" w:hAnsi="宋体" w:eastAsia="宋体" w:cs="宋体"/>
          <w:bCs/>
          <w:sz w:val="28"/>
          <w:szCs w:val="28"/>
        </w:rPr>
        <w:t>本次招标采用两轮报价竞价方式进行，第二轮有效报价为低于第一轮最低报价，超过第一轮最低报价的均为无效报价。第二轮报价结束，报价最低为中标候选人。</w:t>
      </w:r>
      <w:r>
        <w:rPr>
          <w:rFonts w:hint="eastAsia" w:ascii="宋体" w:hAnsi="宋体" w:eastAsia="宋体" w:cs="宋体"/>
          <w:b/>
          <w:bCs/>
          <w:sz w:val="28"/>
          <w:szCs w:val="28"/>
        </w:rPr>
        <w:t>(注意：两轮报价单上必须盖上投标单位的公章,否侧作为无效标处理)。</w:t>
      </w:r>
    </w:p>
    <w:p w14:paraId="4AAA9014">
      <w:pPr>
        <w:spacing w:line="500" w:lineRule="exact"/>
        <w:rPr>
          <w:rFonts w:ascii="宋体" w:hAnsi="宋体" w:eastAsia="宋体" w:cs="宋体"/>
          <w:b/>
          <w:bCs/>
          <w:sz w:val="28"/>
          <w:szCs w:val="28"/>
        </w:rPr>
      </w:pPr>
      <w:r>
        <w:rPr>
          <w:rFonts w:hint="eastAsia" w:ascii="宋体" w:hAnsi="宋体" w:eastAsia="宋体" w:cs="宋体"/>
          <w:b/>
          <w:bCs/>
          <w:sz w:val="28"/>
          <w:szCs w:val="28"/>
        </w:rPr>
        <w:t>八、招标失败</w:t>
      </w:r>
    </w:p>
    <w:p w14:paraId="72648C87">
      <w:pPr>
        <w:spacing w:line="500" w:lineRule="exact"/>
        <w:rPr>
          <w:rFonts w:ascii="宋体" w:hAnsi="宋体" w:eastAsia="宋体" w:cs="宋体"/>
          <w:bCs/>
          <w:sz w:val="28"/>
          <w:szCs w:val="28"/>
        </w:rPr>
      </w:pPr>
      <w:r>
        <w:rPr>
          <w:rFonts w:hint="eastAsia" w:ascii="宋体" w:hAnsi="宋体" w:eastAsia="宋体" w:cs="宋体"/>
          <w:bCs/>
          <w:sz w:val="28"/>
          <w:szCs w:val="28"/>
        </w:rPr>
        <w:t>符合投标条件的报价单位不足四家，桐城经开区建设投资集团有限公司招投标领导小组办公室则重新组织招标。</w:t>
      </w:r>
    </w:p>
    <w:p w14:paraId="55BB051A">
      <w:pPr>
        <w:spacing w:line="500" w:lineRule="exact"/>
        <w:rPr>
          <w:rFonts w:ascii="宋体" w:hAnsi="宋体" w:eastAsia="宋体" w:cs="宋体"/>
          <w:b/>
          <w:bCs/>
          <w:sz w:val="28"/>
          <w:szCs w:val="28"/>
        </w:rPr>
      </w:pPr>
      <w:r>
        <w:rPr>
          <w:rFonts w:hint="eastAsia" w:ascii="宋体" w:hAnsi="宋体" w:eastAsia="宋体" w:cs="宋体"/>
          <w:b/>
          <w:bCs/>
          <w:sz w:val="28"/>
          <w:szCs w:val="28"/>
        </w:rPr>
        <w:t>九、公告媒介及期限</w:t>
      </w:r>
    </w:p>
    <w:p w14:paraId="7D77CAE6">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本次竞争价公告在桐城经开区建投集团公司网站上发布，期限为自公告发布之日起5个工作日</w:t>
      </w:r>
      <w:r>
        <w:rPr>
          <w:rFonts w:hint="eastAsia" w:ascii="微软雅黑" w:hAnsi="微软雅黑" w:eastAsia="微软雅黑" w:cs="微软雅黑"/>
          <w:spacing w:val="-6"/>
          <w:sz w:val="24"/>
          <w:u w:val="single"/>
        </w:rPr>
        <w:t>（http://www.tcjjj.cn/）。</w:t>
      </w:r>
    </w:p>
    <w:p w14:paraId="58CB0EB0">
      <w:pPr>
        <w:spacing w:line="500" w:lineRule="exact"/>
        <w:rPr>
          <w:rFonts w:ascii="宋体" w:hAnsi="宋体" w:eastAsia="宋体" w:cs="宋体"/>
          <w:b/>
          <w:bCs/>
          <w:sz w:val="28"/>
          <w:szCs w:val="28"/>
        </w:rPr>
      </w:pPr>
      <w:r>
        <w:rPr>
          <w:rFonts w:hint="eastAsia" w:ascii="宋体" w:hAnsi="宋体" w:eastAsia="宋体" w:cs="宋体"/>
          <w:b/>
          <w:bCs/>
          <w:sz w:val="28"/>
          <w:szCs w:val="28"/>
        </w:rPr>
        <w:t>十、联系方式</w:t>
      </w:r>
    </w:p>
    <w:p w14:paraId="06F95974">
      <w:pPr>
        <w:spacing w:line="500" w:lineRule="exact"/>
        <w:rPr>
          <w:rFonts w:ascii="宋体" w:hAnsi="宋体" w:eastAsia="宋体" w:cs="宋体"/>
          <w:b/>
          <w:bCs/>
          <w:sz w:val="28"/>
          <w:szCs w:val="28"/>
        </w:rPr>
      </w:pPr>
      <w:r>
        <w:rPr>
          <w:rFonts w:hint="eastAsia" w:ascii="宋体" w:hAnsi="宋体" w:eastAsia="宋体" w:cs="宋体"/>
          <w:b/>
          <w:bCs/>
          <w:sz w:val="28"/>
          <w:szCs w:val="28"/>
        </w:rPr>
        <w:t>招标单位信息：</w:t>
      </w:r>
    </w:p>
    <w:p w14:paraId="5E66BBB8">
      <w:pPr>
        <w:spacing w:line="500" w:lineRule="exact"/>
        <w:rPr>
          <w:rFonts w:ascii="宋体" w:hAnsi="宋体" w:eastAsia="宋体" w:cs="宋体"/>
          <w:sz w:val="28"/>
          <w:szCs w:val="28"/>
        </w:rPr>
      </w:pPr>
      <w:r>
        <w:rPr>
          <w:rFonts w:hint="eastAsia" w:ascii="宋体" w:hAnsi="宋体" w:eastAsia="宋体" w:cs="宋体"/>
          <w:sz w:val="28"/>
          <w:szCs w:val="28"/>
        </w:rPr>
        <w:t>名称：桐城市天正园林绿化工程有限公司</w:t>
      </w:r>
    </w:p>
    <w:p w14:paraId="1A06F54E">
      <w:pPr>
        <w:spacing w:line="500" w:lineRule="exact"/>
        <w:rPr>
          <w:rFonts w:ascii="宋体" w:hAnsi="宋体" w:eastAsia="宋体" w:cs="宋体"/>
          <w:sz w:val="28"/>
          <w:szCs w:val="28"/>
        </w:rPr>
      </w:pPr>
      <w:r>
        <w:rPr>
          <w:rFonts w:hint="eastAsia" w:ascii="宋体" w:hAnsi="宋体" w:eastAsia="宋体" w:cs="宋体"/>
          <w:sz w:val="28"/>
          <w:szCs w:val="28"/>
        </w:rPr>
        <w:t>地址：桐城经开区建投集团公司大楼四楼</w:t>
      </w:r>
    </w:p>
    <w:p w14:paraId="5504A6D9">
      <w:pPr>
        <w:spacing w:line="500" w:lineRule="exact"/>
        <w:rPr>
          <w:rFonts w:ascii="宋体" w:hAnsi="宋体" w:eastAsia="宋体" w:cs="宋体"/>
          <w:sz w:val="28"/>
          <w:szCs w:val="28"/>
        </w:rPr>
      </w:pPr>
      <w:r>
        <w:rPr>
          <w:rFonts w:hint="eastAsia" w:ascii="宋体" w:hAnsi="宋体" w:eastAsia="宋体" w:cs="宋体"/>
          <w:sz w:val="28"/>
          <w:szCs w:val="28"/>
        </w:rPr>
        <w:t>联系人：王俊    联系方式：13865563779</w:t>
      </w:r>
    </w:p>
    <w:p w14:paraId="42360601">
      <w:pPr>
        <w:spacing w:line="500" w:lineRule="exact"/>
        <w:rPr>
          <w:rFonts w:ascii="宋体" w:hAnsi="宋体" w:eastAsia="宋体" w:cs="宋体"/>
          <w:b/>
          <w:bCs/>
          <w:sz w:val="28"/>
          <w:szCs w:val="28"/>
        </w:rPr>
      </w:pPr>
      <w:r>
        <w:rPr>
          <w:rFonts w:hint="eastAsia" w:ascii="宋体" w:hAnsi="宋体" w:eastAsia="宋体" w:cs="宋体"/>
          <w:b/>
          <w:bCs/>
          <w:sz w:val="28"/>
          <w:szCs w:val="28"/>
        </w:rPr>
        <w:t>代理机构信息：</w:t>
      </w:r>
    </w:p>
    <w:p w14:paraId="492B61A1">
      <w:pPr>
        <w:spacing w:line="500" w:lineRule="exact"/>
        <w:rPr>
          <w:rFonts w:ascii="宋体" w:hAnsi="宋体" w:eastAsia="宋体" w:cs="宋体"/>
          <w:sz w:val="28"/>
          <w:szCs w:val="28"/>
        </w:rPr>
      </w:pPr>
      <w:r>
        <w:rPr>
          <w:rFonts w:hint="eastAsia" w:ascii="宋体" w:hAnsi="宋体" w:eastAsia="宋体" w:cs="宋体"/>
          <w:sz w:val="28"/>
          <w:szCs w:val="28"/>
        </w:rPr>
        <w:t>名称：桐城经开区建投集团招投标办公室</w:t>
      </w:r>
    </w:p>
    <w:p w14:paraId="0E8BB62D">
      <w:pPr>
        <w:spacing w:line="500" w:lineRule="exact"/>
        <w:rPr>
          <w:rFonts w:ascii="宋体" w:hAnsi="宋体" w:eastAsia="宋体" w:cs="宋体"/>
          <w:sz w:val="28"/>
          <w:szCs w:val="28"/>
        </w:rPr>
      </w:pPr>
      <w:r>
        <w:rPr>
          <w:rFonts w:hint="eastAsia" w:ascii="宋体" w:hAnsi="宋体" w:eastAsia="宋体" w:cs="宋体"/>
          <w:sz w:val="28"/>
          <w:szCs w:val="28"/>
        </w:rPr>
        <w:t>地址：桐城经开区建投集团公司大楼五楼</w:t>
      </w:r>
    </w:p>
    <w:p w14:paraId="317182B9">
      <w:pPr>
        <w:spacing w:line="500" w:lineRule="exact"/>
        <w:rPr>
          <w:rFonts w:ascii="宋体" w:hAnsi="宋体" w:eastAsia="宋体" w:cs="宋体"/>
          <w:sz w:val="28"/>
          <w:szCs w:val="28"/>
        </w:rPr>
      </w:pPr>
      <w:r>
        <w:rPr>
          <w:rFonts w:hint="eastAsia" w:ascii="宋体" w:hAnsi="宋体" w:eastAsia="宋体" w:cs="宋体"/>
          <w:sz w:val="28"/>
          <w:szCs w:val="28"/>
        </w:rPr>
        <w:t>联系人：胡先生</w:t>
      </w:r>
    </w:p>
    <w:p w14:paraId="6DE8BD97">
      <w:pPr>
        <w:spacing w:line="500" w:lineRule="exact"/>
        <w:rPr>
          <w:rFonts w:ascii="宋体" w:hAnsi="宋体" w:eastAsia="宋体" w:cs="宋体"/>
          <w:sz w:val="28"/>
          <w:szCs w:val="28"/>
        </w:rPr>
      </w:pPr>
      <w:r>
        <w:rPr>
          <w:rFonts w:hint="eastAsia" w:ascii="宋体" w:hAnsi="宋体" w:eastAsia="宋体" w:cs="宋体"/>
          <w:sz w:val="28"/>
          <w:szCs w:val="28"/>
        </w:rPr>
        <w:t>联系方式：13865108771</w:t>
      </w:r>
    </w:p>
    <w:p w14:paraId="0147E504">
      <w:pPr>
        <w:spacing w:line="500" w:lineRule="exact"/>
        <w:rPr>
          <w:rFonts w:ascii="宋体" w:hAnsi="宋体" w:eastAsia="宋体" w:cs="宋体"/>
          <w:sz w:val="30"/>
          <w:szCs w:val="30"/>
        </w:rPr>
      </w:pPr>
    </w:p>
    <w:p w14:paraId="2C8EC529">
      <w:pPr>
        <w:jc w:val="center"/>
        <w:rPr>
          <w:rFonts w:ascii="华文中宋" w:hAnsi="华文中宋" w:eastAsia="华文中宋" w:cs="华文中宋"/>
          <w:b/>
          <w:bCs/>
          <w:sz w:val="36"/>
          <w:szCs w:val="36"/>
        </w:rPr>
      </w:pPr>
    </w:p>
    <w:p w14:paraId="0BD861F4">
      <w:pPr>
        <w:jc w:val="center"/>
        <w:rPr>
          <w:rFonts w:ascii="华文中宋" w:hAnsi="华文中宋" w:eastAsia="华文中宋" w:cs="华文中宋"/>
          <w:b/>
          <w:bCs/>
          <w:sz w:val="36"/>
          <w:szCs w:val="36"/>
        </w:rPr>
      </w:pPr>
      <w:r>
        <w:rPr>
          <w:rFonts w:hint="eastAsia" w:ascii="华文中宋" w:hAnsi="华文中宋" w:eastAsia="华文中宋" w:cs="华文中宋"/>
          <w:b/>
          <w:bCs/>
          <w:sz w:val="36"/>
          <w:szCs w:val="36"/>
        </w:rPr>
        <w:t>第二章 投标单位须知</w:t>
      </w:r>
    </w:p>
    <w:p w14:paraId="70B5BD05">
      <w:pPr>
        <w:rPr>
          <w:rFonts w:ascii="宋体" w:hAnsi="宋体" w:eastAsia="宋体" w:cs="宋体"/>
          <w:sz w:val="30"/>
          <w:szCs w:val="30"/>
        </w:rPr>
      </w:pPr>
    </w:p>
    <w:p w14:paraId="1C8985DF">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r>
        <w:rPr>
          <w:rFonts w:hint="eastAsia" w:ascii="华文中宋" w:hAnsi="华文中宋" w:eastAsia="华文中宋" w:cs="华文中宋"/>
          <w:b/>
          <w:bCs/>
          <w:snapToGrid w:val="0"/>
          <w:color w:val="000000"/>
          <w:kern w:val="0"/>
          <w:sz w:val="36"/>
          <w:szCs w:val="36"/>
        </w:rPr>
        <w:t>一、投标单位须知前附表</w:t>
      </w:r>
    </w:p>
    <w:tbl>
      <w:tblPr>
        <w:tblStyle w:val="7"/>
        <w:tblW w:w="0" w:type="auto"/>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0"/>
        <w:gridCol w:w="1937"/>
        <w:gridCol w:w="5743"/>
      </w:tblGrid>
      <w:tr w14:paraId="442F1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050" w:type="dxa"/>
            <w:vAlign w:val="center"/>
          </w:tcPr>
          <w:p w14:paraId="0AB573CC">
            <w:pPr>
              <w:spacing w:line="500" w:lineRule="exact"/>
              <w:jc w:val="center"/>
              <w:rPr>
                <w:rFonts w:ascii="宋体" w:hAnsi="宋体" w:eastAsia="宋体" w:cs="宋体"/>
                <w:b/>
                <w:bCs/>
                <w:sz w:val="24"/>
              </w:rPr>
            </w:pPr>
            <w:r>
              <w:rPr>
                <w:rFonts w:hint="eastAsia" w:ascii="宋体" w:hAnsi="宋体" w:eastAsia="宋体" w:cs="宋体"/>
                <w:b/>
                <w:bCs/>
                <w:sz w:val="24"/>
              </w:rPr>
              <w:t>条款号</w:t>
            </w:r>
          </w:p>
        </w:tc>
        <w:tc>
          <w:tcPr>
            <w:tcW w:w="1937" w:type="dxa"/>
            <w:vAlign w:val="center"/>
          </w:tcPr>
          <w:p w14:paraId="219CE956">
            <w:pPr>
              <w:spacing w:line="500" w:lineRule="exact"/>
              <w:jc w:val="center"/>
              <w:rPr>
                <w:rFonts w:ascii="宋体" w:hAnsi="宋体" w:eastAsia="宋体" w:cs="宋体"/>
                <w:b/>
                <w:bCs/>
                <w:sz w:val="24"/>
              </w:rPr>
            </w:pPr>
            <w:r>
              <w:rPr>
                <w:rFonts w:hint="eastAsia" w:ascii="宋体" w:hAnsi="宋体" w:eastAsia="宋体" w:cs="宋体"/>
                <w:b/>
                <w:bCs/>
                <w:sz w:val="24"/>
              </w:rPr>
              <w:t>条款名称</w:t>
            </w:r>
          </w:p>
        </w:tc>
        <w:tc>
          <w:tcPr>
            <w:tcW w:w="5743" w:type="dxa"/>
            <w:vAlign w:val="center"/>
          </w:tcPr>
          <w:p w14:paraId="3A95F549">
            <w:pPr>
              <w:spacing w:line="500" w:lineRule="exact"/>
              <w:jc w:val="center"/>
              <w:rPr>
                <w:rFonts w:ascii="宋体" w:hAnsi="宋体" w:eastAsia="宋体" w:cs="宋体"/>
                <w:b/>
                <w:bCs/>
                <w:sz w:val="24"/>
              </w:rPr>
            </w:pPr>
            <w:r>
              <w:rPr>
                <w:rFonts w:hint="eastAsia" w:ascii="宋体" w:hAnsi="宋体" w:eastAsia="宋体" w:cs="宋体"/>
                <w:b/>
                <w:bCs/>
                <w:sz w:val="24"/>
              </w:rPr>
              <w:t>内容、说明及要求</w:t>
            </w:r>
          </w:p>
        </w:tc>
      </w:tr>
      <w:tr w14:paraId="782F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14:paraId="1D88FCAD">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1.1</w:t>
            </w:r>
          </w:p>
        </w:tc>
        <w:tc>
          <w:tcPr>
            <w:tcW w:w="1937" w:type="dxa"/>
            <w:vAlign w:val="center"/>
          </w:tcPr>
          <w:p w14:paraId="49867571">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现场踏勘</w:t>
            </w:r>
          </w:p>
        </w:tc>
        <w:tc>
          <w:tcPr>
            <w:tcW w:w="5743" w:type="dxa"/>
          </w:tcPr>
          <w:p w14:paraId="3A6E4173">
            <w:pPr>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sym w:font="Wingdings 2" w:char="0052"/>
            </w:r>
            <w:r>
              <w:rPr>
                <w:rFonts w:hint="eastAsia" w:ascii="宋体" w:hAnsi="宋体" w:eastAsia="宋体" w:cs="宋体"/>
                <w:color w:val="000000" w:themeColor="text1"/>
                <w:sz w:val="24"/>
                <w14:textFill>
                  <w14:solidFill>
                    <w14:schemeClr w14:val="tx1"/>
                  </w14:solidFill>
                </w14:textFill>
              </w:rPr>
              <w:t>自行踏勘</w:t>
            </w:r>
          </w:p>
          <w:p w14:paraId="3CA5673C">
            <w:pPr>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sym w:font="Wingdings 2" w:char="00A3"/>
            </w:r>
            <w:r>
              <w:rPr>
                <w:rFonts w:hint="eastAsia" w:ascii="宋体" w:hAnsi="宋体" w:eastAsia="宋体" w:cs="宋体"/>
                <w:color w:val="000000" w:themeColor="text1"/>
                <w:sz w:val="24"/>
                <w14:textFill>
                  <w14:solidFill>
                    <w14:schemeClr w14:val="tx1"/>
                  </w14:solidFill>
                </w14:textFill>
              </w:rPr>
              <w:t>集中组织</w:t>
            </w:r>
          </w:p>
          <w:p w14:paraId="79C06D1B">
            <w:pPr>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时间： 2025 年 </w:t>
            </w:r>
            <w:r>
              <w:rPr>
                <w:rFonts w:hint="eastAsia" w:ascii="宋体" w:hAnsi="宋体" w:eastAsia="宋体" w:cs="宋体"/>
                <w:color w:val="000000" w:themeColor="text1"/>
                <w:sz w:val="24"/>
                <w:lang w:val="en-US" w:eastAsia="zh-CN"/>
                <w14:textFill>
                  <w14:solidFill>
                    <w14:schemeClr w14:val="tx1"/>
                  </w14:solidFill>
                </w14:textFill>
              </w:rPr>
              <w:t>10</w:t>
            </w:r>
            <w:r>
              <w:rPr>
                <w:rFonts w:hint="eastAsia" w:ascii="宋体" w:hAnsi="宋体" w:eastAsia="宋体" w:cs="宋体"/>
                <w:color w:val="000000" w:themeColor="text1"/>
                <w:sz w:val="24"/>
                <w14:textFill>
                  <w14:solidFill>
                    <w14:schemeClr w14:val="tx1"/>
                  </w14:solidFill>
                </w14:textFill>
              </w:rPr>
              <w:t xml:space="preserve"> 月  </w:t>
            </w:r>
            <w:r>
              <w:rPr>
                <w:rFonts w:hint="eastAsia" w:ascii="宋体" w:hAnsi="宋体" w:eastAsia="宋体" w:cs="宋体"/>
                <w:color w:val="000000" w:themeColor="text1"/>
                <w:sz w:val="24"/>
                <w:lang w:val="en-US" w:eastAsia="zh-CN"/>
                <w14:textFill>
                  <w14:solidFill>
                    <w14:schemeClr w14:val="tx1"/>
                  </w14:solidFill>
                </w14:textFill>
              </w:rPr>
              <w:t>31</w:t>
            </w:r>
            <w:r>
              <w:rPr>
                <w:rFonts w:hint="eastAsia" w:ascii="宋体" w:hAnsi="宋体" w:eastAsia="宋体" w:cs="宋体"/>
                <w:color w:val="000000" w:themeColor="text1"/>
                <w:sz w:val="24"/>
                <w14:textFill>
                  <w14:solidFill>
                    <w14:schemeClr w14:val="tx1"/>
                  </w14:solidFill>
                </w14:textFill>
              </w:rPr>
              <w:t xml:space="preserve"> 日 15 时 00 分</w:t>
            </w:r>
          </w:p>
          <w:p w14:paraId="403875BE">
            <w:pPr>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地点：桐城经开区</w:t>
            </w:r>
          </w:p>
          <w:p w14:paraId="087D9581">
            <w:pPr>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现场踏勘联系人：王先生联系电话:</w:t>
            </w:r>
            <w:r>
              <w:rPr>
                <w:rFonts w:ascii="宋体" w:hAnsi="宋体" w:eastAsia="宋体" w:cs="宋体"/>
                <w:color w:val="000000" w:themeColor="text1"/>
                <w:sz w:val="24"/>
                <w14:textFill>
                  <w14:solidFill>
                    <w14:schemeClr w14:val="tx1"/>
                  </w14:solidFill>
                </w14:textFill>
              </w:rPr>
              <w:t>13865563779</w:t>
            </w:r>
            <w:r>
              <w:rPr>
                <w:rFonts w:hint="eastAsia" w:ascii="宋体" w:hAnsi="宋体" w:eastAsia="宋体" w:cs="宋体"/>
                <w:color w:val="000000" w:themeColor="text1"/>
                <w:sz w:val="24"/>
                <w14:textFill>
                  <w14:solidFill>
                    <w14:schemeClr w14:val="tx1"/>
                  </w14:solidFill>
                </w14:textFill>
              </w:rPr>
              <w:t>备注：如供应商未参加招标单位统一组织的现场踏勘，视同放弃现场踏勘，由此引起的一切责任由供应商自行承担。</w:t>
            </w:r>
          </w:p>
        </w:tc>
      </w:tr>
      <w:tr w14:paraId="56848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CF2CC92">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1.2</w:t>
            </w:r>
          </w:p>
        </w:tc>
        <w:tc>
          <w:tcPr>
            <w:tcW w:w="1937" w:type="dxa"/>
          </w:tcPr>
          <w:p w14:paraId="66088B69">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养护级别</w:t>
            </w:r>
          </w:p>
        </w:tc>
        <w:tc>
          <w:tcPr>
            <w:tcW w:w="5743" w:type="dxa"/>
          </w:tcPr>
          <w:p w14:paraId="6D9B24A0">
            <w:pPr>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二级养护</w:t>
            </w:r>
          </w:p>
        </w:tc>
      </w:tr>
      <w:tr w14:paraId="33D3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EDCAB83">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w:t>
            </w:r>
          </w:p>
        </w:tc>
        <w:tc>
          <w:tcPr>
            <w:tcW w:w="1937" w:type="dxa"/>
          </w:tcPr>
          <w:p w14:paraId="3E71098B">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服务期限</w:t>
            </w:r>
          </w:p>
        </w:tc>
        <w:tc>
          <w:tcPr>
            <w:tcW w:w="5743" w:type="dxa"/>
          </w:tcPr>
          <w:p w14:paraId="0AA5E4B9">
            <w:pPr>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两年（1+1）。</w:t>
            </w:r>
            <w:r>
              <w:rPr>
                <w:rFonts w:hint="eastAsia" w:ascii="宋体" w:hAnsi="宋体" w:eastAsia="宋体" w:cs="宋体"/>
                <w:color w:val="000000" w:themeColor="text1"/>
                <w:sz w:val="24"/>
                <w14:textFill>
                  <w14:solidFill>
                    <w14:schemeClr w14:val="tx1"/>
                  </w14:solidFill>
                </w14:textFill>
              </w:rPr>
              <w:t>每年一签，每年合同期满经考核均为良好可续签一年。</w:t>
            </w:r>
          </w:p>
        </w:tc>
      </w:tr>
      <w:tr w14:paraId="6D649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14:paraId="054A6DC9">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2.1</w:t>
            </w:r>
          </w:p>
        </w:tc>
        <w:tc>
          <w:tcPr>
            <w:tcW w:w="1937" w:type="dxa"/>
          </w:tcPr>
          <w:p w14:paraId="0969B633">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标段划分</w:t>
            </w:r>
          </w:p>
        </w:tc>
        <w:tc>
          <w:tcPr>
            <w:tcW w:w="5743" w:type="dxa"/>
          </w:tcPr>
          <w:p w14:paraId="495FEB4C">
            <w:pPr>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sym w:font="Wingdings 2" w:char="0052"/>
            </w:r>
            <w:r>
              <w:rPr>
                <w:rFonts w:hint="eastAsia" w:ascii="宋体" w:hAnsi="宋体" w:eastAsia="宋体" w:cs="宋体"/>
                <w:color w:val="000000" w:themeColor="text1"/>
                <w:sz w:val="24"/>
                <w14:textFill>
                  <w14:solidFill>
                    <w14:schemeClr w14:val="tx1"/>
                  </w14:solidFill>
                </w14:textFill>
              </w:rPr>
              <w:t>不分包</w:t>
            </w:r>
          </w:p>
          <w:p w14:paraId="3724BB9F">
            <w:pPr>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sym w:font="Wingdings 2" w:char="0052"/>
            </w:r>
            <w:r>
              <w:rPr>
                <w:rFonts w:hint="eastAsia" w:ascii="宋体" w:hAnsi="宋体" w:eastAsia="宋体" w:cs="宋体"/>
                <w:color w:val="000000" w:themeColor="text1"/>
                <w:sz w:val="24"/>
                <w14:textFill>
                  <w14:solidFill>
                    <w14:schemeClr w14:val="tx1"/>
                  </w14:solidFill>
                </w14:textFill>
              </w:rPr>
              <w:t>分为  1个标段</w:t>
            </w:r>
          </w:p>
          <w:p w14:paraId="6D59EDED">
            <w:pPr>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投标单位参加多个标段竞价的成交数规定：</w:t>
            </w:r>
          </w:p>
        </w:tc>
      </w:tr>
      <w:tr w14:paraId="07F61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DF791EC">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3.1</w:t>
            </w:r>
          </w:p>
        </w:tc>
        <w:tc>
          <w:tcPr>
            <w:tcW w:w="1937" w:type="dxa"/>
          </w:tcPr>
          <w:p w14:paraId="548ABC99">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竞价保证金</w:t>
            </w:r>
          </w:p>
        </w:tc>
        <w:tc>
          <w:tcPr>
            <w:tcW w:w="5743" w:type="dxa"/>
          </w:tcPr>
          <w:p w14:paraId="01986945">
            <w:pPr>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人民币叁仟元整（小写：3000.00元）</w:t>
            </w:r>
          </w:p>
        </w:tc>
      </w:tr>
      <w:tr w14:paraId="6A7CD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59DE4DBD">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4.1</w:t>
            </w:r>
          </w:p>
        </w:tc>
        <w:tc>
          <w:tcPr>
            <w:tcW w:w="1937" w:type="dxa"/>
          </w:tcPr>
          <w:p w14:paraId="667396AA">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询价截止时间</w:t>
            </w:r>
          </w:p>
        </w:tc>
        <w:tc>
          <w:tcPr>
            <w:tcW w:w="5743" w:type="dxa"/>
          </w:tcPr>
          <w:p w14:paraId="4F46DB67">
            <w:pPr>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2025年   </w:t>
            </w:r>
            <w:r>
              <w:rPr>
                <w:rFonts w:hint="eastAsia" w:ascii="宋体" w:hAnsi="宋体" w:eastAsia="宋体" w:cs="宋体"/>
                <w:color w:val="000000" w:themeColor="text1"/>
                <w:sz w:val="24"/>
                <w:lang w:val="en-US" w:eastAsia="zh-CN"/>
                <w14:textFill>
                  <w14:solidFill>
                    <w14:schemeClr w14:val="tx1"/>
                  </w14:solidFill>
                </w14:textFill>
              </w:rPr>
              <w:t>11</w:t>
            </w:r>
            <w:r>
              <w:rPr>
                <w:rFonts w:hint="eastAsia" w:ascii="宋体" w:hAnsi="宋体" w:eastAsia="宋体" w:cs="宋体"/>
                <w:color w:val="000000" w:themeColor="text1"/>
                <w:sz w:val="24"/>
                <w14:textFill>
                  <w14:solidFill>
                    <w14:schemeClr w14:val="tx1"/>
                  </w14:solidFill>
                </w14:textFill>
              </w:rPr>
              <w:t xml:space="preserve">  月  </w:t>
            </w:r>
            <w:r>
              <w:rPr>
                <w:rFonts w:hint="eastAsia" w:ascii="宋体" w:hAnsi="宋体" w:eastAsia="宋体" w:cs="宋体"/>
                <w:color w:val="000000" w:themeColor="text1"/>
                <w:sz w:val="24"/>
                <w:lang w:val="en-US" w:eastAsia="zh-CN"/>
                <w14:textFill>
                  <w14:solidFill>
                    <w14:schemeClr w14:val="tx1"/>
                  </w14:solidFill>
                </w14:textFill>
              </w:rPr>
              <w:t>3</w:t>
            </w:r>
            <w:r>
              <w:rPr>
                <w:rFonts w:hint="eastAsia" w:ascii="宋体" w:hAnsi="宋体" w:eastAsia="宋体" w:cs="宋体"/>
                <w:color w:val="000000" w:themeColor="text1"/>
                <w:sz w:val="24"/>
                <w14:textFill>
                  <w14:solidFill>
                    <w14:schemeClr w14:val="tx1"/>
                  </w14:solidFill>
                </w14:textFill>
              </w:rPr>
              <w:t xml:space="preserve">  日 15 时 00 分</w:t>
            </w:r>
          </w:p>
        </w:tc>
      </w:tr>
      <w:tr w14:paraId="5B9D0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4D731034">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4.2</w:t>
            </w:r>
          </w:p>
        </w:tc>
        <w:tc>
          <w:tcPr>
            <w:tcW w:w="1937" w:type="dxa"/>
          </w:tcPr>
          <w:p w14:paraId="3E95AB77">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竞价有效期</w:t>
            </w:r>
          </w:p>
        </w:tc>
        <w:tc>
          <w:tcPr>
            <w:tcW w:w="5743" w:type="dxa"/>
          </w:tcPr>
          <w:p w14:paraId="669B4DE0">
            <w:pPr>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自竞价截止日后90日历天</w:t>
            </w:r>
          </w:p>
        </w:tc>
      </w:tr>
      <w:tr w14:paraId="5396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7E9CC5D">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4.3</w:t>
            </w:r>
          </w:p>
        </w:tc>
        <w:tc>
          <w:tcPr>
            <w:tcW w:w="1937" w:type="dxa"/>
          </w:tcPr>
          <w:p w14:paraId="6147CBE5">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竞价现场提交其他材料要求</w:t>
            </w:r>
          </w:p>
        </w:tc>
        <w:tc>
          <w:tcPr>
            <w:tcW w:w="5743" w:type="dxa"/>
            <w:vAlign w:val="center"/>
          </w:tcPr>
          <w:p w14:paraId="785BA395">
            <w:pPr>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详见竞价公告</w:t>
            </w:r>
          </w:p>
        </w:tc>
      </w:tr>
      <w:tr w14:paraId="12D1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77E3D249">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4.4</w:t>
            </w:r>
          </w:p>
        </w:tc>
        <w:tc>
          <w:tcPr>
            <w:tcW w:w="1937" w:type="dxa"/>
          </w:tcPr>
          <w:p w14:paraId="424013F9">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竞价文件提交截止时间</w:t>
            </w:r>
          </w:p>
        </w:tc>
        <w:tc>
          <w:tcPr>
            <w:tcW w:w="5743" w:type="dxa"/>
          </w:tcPr>
          <w:p w14:paraId="404DBABA">
            <w:pPr>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详见竞价公告</w:t>
            </w:r>
          </w:p>
        </w:tc>
      </w:tr>
      <w:tr w14:paraId="49FD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8037A96">
            <w:pPr>
              <w:spacing w:line="400" w:lineRule="exact"/>
              <w:jc w:val="center"/>
              <w:rPr>
                <w:rFonts w:ascii="宋体" w:hAnsi="宋体" w:eastAsia="宋体" w:cs="宋体"/>
                <w:sz w:val="24"/>
              </w:rPr>
            </w:pPr>
            <w:r>
              <w:rPr>
                <w:rFonts w:hint="eastAsia" w:ascii="宋体" w:hAnsi="宋体" w:eastAsia="宋体" w:cs="宋体"/>
                <w:sz w:val="24"/>
              </w:rPr>
              <w:t>4.5</w:t>
            </w:r>
          </w:p>
        </w:tc>
        <w:tc>
          <w:tcPr>
            <w:tcW w:w="1937" w:type="dxa"/>
          </w:tcPr>
          <w:p w14:paraId="696E13DC">
            <w:pPr>
              <w:spacing w:line="400" w:lineRule="exact"/>
              <w:jc w:val="center"/>
              <w:rPr>
                <w:rFonts w:ascii="宋体" w:hAnsi="宋体" w:eastAsia="宋体" w:cs="宋体"/>
                <w:sz w:val="24"/>
              </w:rPr>
            </w:pPr>
            <w:r>
              <w:rPr>
                <w:rFonts w:hint="eastAsia" w:ascii="宋体" w:hAnsi="宋体" w:eastAsia="宋体" w:cs="宋体"/>
                <w:sz w:val="24"/>
              </w:rPr>
              <w:t>竞价时间</w:t>
            </w:r>
          </w:p>
        </w:tc>
        <w:tc>
          <w:tcPr>
            <w:tcW w:w="5743" w:type="dxa"/>
          </w:tcPr>
          <w:p w14:paraId="389DAF3D">
            <w:pPr>
              <w:spacing w:line="400" w:lineRule="exact"/>
              <w:jc w:val="left"/>
              <w:rPr>
                <w:rFonts w:ascii="宋体" w:hAnsi="宋体" w:eastAsia="宋体" w:cs="宋体"/>
                <w:sz w:val="24"/>
              </w:rPr>
            </w:pPr>
            <w:r>
              <w:rPr>
                <w:rFonts w:hint="eastAsia" w:ascii="宋体" w:hAnsi="宋体" w:eastAsia="宋体" w:cs="宋体"/>
                <w:sz w:val="24"/>
              </w:rPr>
              <w:t>详见竞价公告</w:t>
            </w:r>
          </w:p>
        </w:tc>
      </w:tr>
      <w:tr w14:paraId="6B6B1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3472881C">
            <w:pPr>
              <w:spacing w:line="400" w:lineRule="exact"/>
              <w:jc w:val="center"/>
              <w:rPr>
                <w:rFonts w:ascii="宋体" w:hAnsi="宋体" w:eastAsia="宋体" w:cs="宋体"/>
                <w:sz w:val="24"/>
              </w:rPr>
            </w:pPr>
            <w:r>
              <w:rPr>
                <w:rFonts w:hint="eastAsia" w:ascii="宋体" w:hAnsi="宋体" w:eastAsia="宋体" w:cs="宋体"/>
                <w:sz w:val="24"/>
              </w:rPr>
              <w:t>4.6</w:t>
            </w:r>
          </w:p>
        </w:tc>
        <w:tc>
          <w:tcPr>
            <w:tcW w:w="1937" w:type="dxa"/>
          </w:tcPr>
          <w:p w14:paraId="2A88F854">
            <w:pPr>
              <w:spacing w:line="400" w:lineRule="exact"/>
              <w:jc w:val="center"/>
              <w:rPr>
                <w:rFonts w:ascii="宋体" w:hAnsi="宋体" w:eastAsia="宋体" w:cs="宋体"/>
                <w:sz w:val="24"/>
              </w:rPr>
            </w:pPr>
            <w:r>
              <w:rPr>
                <w:rFonts w:hint="eastAsia" w:ascii="宋体" w:hAnsi="宋体" w:eastAsia="宋体" w:cs="宋体"/>
                <w:sz w:val="24"/>
              </w:rPr>
              <w:t>竞价地点</w:t>
            </w:r>
          </w:p>
        </w:tc>
        <w:tc>
          <w:tcPr>
            <w:tcW w:w="5743" w:type="dxa"/>
          </w:tcPr>
          <w:p w14:paraId="0E7BFF97">
            <w:pPr>
              <w:spacing w:line="400" w:lineRule="exact"/>
              <w:jc w:val="left"/>
              <w:rPr>
                <w:rFonts w:ascii="宋体" w:hAnsi="宋体" w:eastAsia="宋体" w:cs="宋体"/>
                <w:sz w:val="24"/>
              </w:rPr>
            </w:pPr>
            <w:r>
              <w:rPr>
                <w:rFonts w:hint="eastAsia" w:ascii="宋体" w:hAnsi="宋体" w:eastAsia="宋体" w:cs="宋体"/>
                <w:sz w:val="24"/>
              </w:rPr>
              <w:t>详见竞价公告</w:t>
            </w:r>
          </w:p>
        </w:tc>
      </w:tr>
      <w:tr w14:paraId="6A02C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tcPr>
          <w:p w14:paraId="641821FF">
            <w:pPr>
              <w:spacing w:line="400" w:lineRule="exact"/>
              <w:jc w:val="center"/>
              <w:rPr>
                <w:rFonts w:ascii="宋体" w:hAnsi="宋体" w:eastAsia="宋体" w:cs="宋体"/>
                <w:sz w:val="24"/>
              </w:rPr>
            </w:pPr>
            <w:r>
              <w:rPr>
                <w:rFonts w:hint="eastAsia" w:ascii="宋体" w:hAnsi="宋体" w:eastAsia="宋体" w:cs="宋体"/>
                <w:sz w:val="24"/>
              </w:rPr>
              <w:t>5.1</w:t>
            </w:r>
          </w:p>
        </w:tc>
        <w:tc>
          <w:tcPr>
            <w:tcW w:w="1937" w:type="dxa"/>
          </w:tcPr>
          <w:p w14:paraId="09AF8825">
            <w:pPr>
              <w:spacing w:line="400" w:lineRule="exact"/>
              <w:jc w:val="center"/>
              <w:rPr>
                <w:rFonts w:ascii="宋体" w:hAnsi="宋体" w:eastAsia="宋体" w:cs="宋体"/>
                <w:sz w:val="24"/>
              </w:rPr>
            </w:pPr>
            <w:r>
              <w:rPr>
                <w:rFonts w:hint="eastAsia" w:ascii="宋体" w:hAnsi="宋体" w:eastAsia="宋体" w:cs="宋体"/>
                <w:sz w:val="24"/>
              </w:rPr>
              <w:t>评审方法</w:t>
            </w:r>
          </w:p>
        </w:tc>
        <w:tc>
          <w:tcPr>
            <w:tcW w:w="5743" w:type="dxa"/>
          </w:tcPr>
          <w:p w14:paraId="775418EC">
            <w:pPr>
              <w:spacing w:line="400" w:lineRule="exact"/>
              <w:jc w:val="left"/>
              <w:rPr>
                <w:rFonts w:ascii="宋体" w:hAnsi="宋体" w:eastAsia="宋体" w:cs="宋体"/>
                <w:sz w:val="24"/>
              </w:rPr>
            </w:pPr>
            <w:r>
              <w:rPr>
                <w:rFonts w:hint="eastAsia" w:ascii="宋体" w:hAnsi="宋体" w:eastAsia="宋体" w:cs="宋体"/>
                <w:sz w:val="24"/>
              </w:rPr>
              <w:t>最低评标价法</w:t>
            </w:r>
          </w:p>
        </w:tc>
      </w:tr>
      <w:tr w14:paraId="2942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dxa"/>
            <w:vAlign w:val="center"/>
          </w:tcPr>
          <w:p w14:paraId="502E0C71">
            <w:pPr>
              <w:spacing w:line="400" w:lineRule="exact"/>
              <w:jc w:val="center"/>
              <w:rPr>
                <w:rFonts w:ascii="宋体" w:hAnsi="宋体" w:eastAsia="宋体" w:cs="宋体"/>
                <w:sz w:val="24"/>
              </w:rPr>
            </w:pPr>
            <w:r>
              <w:rPr>
                <w:rFonts w:hint="eastAsia" w:ascii="宋体" w:hAnsi="宋体" w:eastAsia="宋体" w:cs="宋体"/>
                <w:sz w:val="24"/>
              </w:rPr>
              <w:t>5.2</w:t>
            </w:r>
          </w:p>
        </w:tc>
        <w:tc>
          <w:tcPr>
            <w:tcW w:w="1937" w:type="dxa"/>
          </w:tcPr>
          <w:p w14:paraId="74E0DA6C">
            <w:pPr>
              <w:spacing w:line="400" w:lineRule="exact"/>
              <w:jc w:val="center"/>
              <w:rPr>
                <w:rFonts w:ascii="宋体" w:hAnsi="宋体" w:eastAsia="宋体" w:cs="宋体"/>
                <w:sz w:val="24"/>
              </w:rPr>
            </w:pPr>
            <w:r>
              <w:rPr>
                <w:rFonts w:hint="eastAsia" w:ascii="宋体" w:hAnsi="宋体" w:eastAsia="宋体" w:cs="宋体"/>
                <w:sz w:val="24"/>
              </w:rPr>
              <w:t>确定中标候选人或中标单位</w:t>
            </w:r>
          </w:p>
        </w:tc>
        <w:tc>
          <w:tcPr>
            <w:tcW w:w="5743" w:type="dxa"/>
          </w:tcPr>
          <w:p w14:paraId="151152AE">
            <w:pPr>
              <w:spacing w:line="400" w:lineRule="exact"/>
              <w:jc w:val="left"/>
              <w:rPr>
                <w:rFonts w:ascii="宋体" w:hAnsi="宋体" w:eastAsia="宋体" w:cs="宋体"/>
                <w:sz w:val="24"/>
              </w:rPr>
            </w:pPr>
            <w:r>
              <w:rPr>
                <w:rFonts w:hint="eastAsia" w:ascii="宋体" w:hAnsi="宋体" w:eastAsia="宋体" w:cs="宋体"/>
                <w:sz w:val="24"/>
              </w:rPr>
              <w:t>评审委员会确定中标单位：1家</w:t>
            </w:r>
          </w:p>
          <w:p w14:paraId="64B81109">
            <w:pPr>
              <w:spacing w:line="400" w:lineRule="exact"/>
              <w:jc w:val="left"/>
              <w:rPr>
                <w:rFonts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rPr>
              <w:t>招标单位委托评审委员会确定</w:t>
            </w:r>
          </w:p>
          <w:p w14:paraId="57437D60">
            <w:pPr>
              <w:spacing w:line="400" w:lineRule="exact"/>
              <w:jc w:val="lef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招标单位报集团党委会确定</w:t>
            </w:r>
          </w:p>
        </w:tc>
      </w:tr>
      <w:tr w14:paraId="378EE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0" w:hRule="atLeast"/>
        </w:trPr>
        <w:tc>
          <w:tcPr>
            <w:tcW w:w="1050" w:type="dxa"/>
            <w:vAlign w:val="center"/>
          </w:tcPr>
          <w:p w14:paraId="3450D960">
            <w:pPr>
              <w:spacing w:line="400" w:lineRule="exact"/>
              <w:jc w:val="center"/>
              <w:rPr>
                <w:rFonts w:ascii="宋体" w:hAnsi="宋体" w:eastAsia="宋体" w:cs="宋体"/>
                <w:sz w:val="24"/>
              </w:rPr>
            </w:pPr>
            <w:r>
              <w:rPr>
                <w:rFonts w:hint="eastAsia" w:ascii="宋体" w:hAnsi="宋体" w:eastAsia="宋体" w:cs="宋体"/>
                <w:sz w:val="24"/>
              </w:rPr>
              <w:t>6.1</w:t>
            </w:r>
          </w:p>
        </w:tc>
        <w:tc>
          <w:tcPr>
            <w:tcW w:w="1937" w:type="dxa"/>
            <w:vAlign w:val="center"/>
          </w:tcPr>
          <w:p w14:paraId="4095A427">
            <w:pPr>
              <w:spacing w:line="400" w:lineRule="exact"/>
              <w:jc w:val="center"/>
              <w:rPr>
                <w:rFonts w:ascii="宋体" w:hAnsi="宋体" w:eastAsia="宋体" w:cs="宋体"/>
                <w:sz w:val="24"/>
              </w:rPr>
            </w:pPr>
            <w:r>
              <w:rPr>
                <w:rFonts w:hint="eastAsia" w:ascii="宋体" w:hAnsi="宋体" w:eastAsia="宋体" w:cs="宋体"/>
                <w:sz w:val="24"/>
              </w:rPr>
              <w:t>履约保证金</w:t>
            </w:r>
          </w:p>
        </w:tc>
        <w:tc>
          <w:tcPr>
            <w:tcW w:w="5743" w:type="dxa"/>
            <w:vAlign w:val="center"/>
          </w:tcPr>
          <w:p w14:paraId="5859294F">
            <w:pPr>
              <w:spacing w:line="400" w:lineRule="exact"/>
              <w:rPr>
                <w:rFonts w:ascii="宋体" w:hAnsi="宋体" w:eastAsia="宋体" w:cs="宋体"/>
                <w:sz w:val="24"/>
              </w:rPr>
            </w:pPr>
            <w:r>
              <w:rPr>
                <w:rFonts w:hint="eastAsia" w:ascii="宋体" w:hAnsi="宋体" w:eastAsia="宋体" w:cs="宋体"/>
                <w:sz w:val="24"/>
              </w:rPr>
              <w:t>是否要求中标人提交履约保证金：</w:t>
            </w:r>
          </w:p>
          <w:p w14:paraId="57359339">
            <w:pPr>
              <w:spacing w:line="400" w:lineRule="exact"/>
              <w:rPr>
                <w:rFonts w:ascii="宋体" w:hAnsi="宋体" w:eastAsia="宋体" w:cs="宋体"/>
                <w:sz w:val="24"/>
              </w:rPr>
            </w:pPr>
            <w:r>
              <w:rPr>
                <w:rFonts w:hint="eastAsia" w:ascii="宋体" w:hAnsi="宋体" w:eastAsia="宋体" w:cs="宋体"/>
                <w:sz w:val="24"/>
              </w:rPr>
              <w:t xml:space="preserve">口不要求 </w:t>
            </w:r>
            <w:r>
              <w:rPr>
                <w:rFonts w:hint="eastAsia" w:ascii="宋体" w:hAnsi="宋体" w:eastAsia="宋体" w:cs="宋体"/>
                <w:sz w:val="24"/>
              </w:rPr>
              <w:sym w:font="Wingdings 2" w:char="0052"/>
            </w:r>
            <w:r>
              <w:rPr>
                <w:rFonts w:hint="eastAsia" w:ascii="宋体" w:hAnsi="宋体" w:eastAsia="宋体" w:cs="宋体"/>
                <w:sz w:val="24"/>
              </w:rPr>
              <w:t>要求</w:t>
            </w:r>
          </w:p>
          <w:p w14:paraId="1A0E0935">
            <w:pPr>
              <w:spacing w:line="400" w:lineRule="exact"/>
              <w:rPr>
                <w:rFonts w:ascii="宋体" w:hAnsi="宋体" w:eastAsia="宋体" w:cs="宋体"/>
                <w:sz w:val="24"/>
              </w:rPr>
            </w:pPr>
            <w:r>
              <w:rPr>
                <w:rFonts w:hint="eastAsia" w:ascii="宋体" w:hAnsi="宋体" w:eastAsia="宋体" w:cs="宋体"/>
                <w:sz w:val="24"/>
              </w:rPr>
              <w:t>(1)履约保证金的金额:成交合同金额的2%;</w:t>
            </w:r>
          </w:p>
          <w:p w14:paraId="53D4AE06">
            <w:pPr>
              <w:spacing w:line="400" w:lineRule="exact"/>
              <w:rPr>
                <w:rFonts w:ascii="宋体" w:hAnsi="宋体" w:eastAsia="宋体" w:cs="宋体"/>
                <w:sz w:val="24"/>
              </w:rPr>
            </w:pPr>
            <w:r>
              <w:rPr>
                <w:rFonts w:hint="eastAsia" w:ascii="宋体" w:hAnsi="宋体" w:eastAsia="宋体" w:cs="宋体"/>
                <w:sz w:val="24"/>
              </w:rPr>
              <w:t>(2)履约保证金的形式:银行转账；</w:t>
            </w:r>
          </w:p>
          <w:p w14:paraId="1B4A9F11">
            <w:pPr>
              <w:spacing w:line="400" w:lineRule="exact"/>
              <w:rPr>
                <w:rFonts w:ascii="宋体" w:hAnsi="宋体" w:eastAsia="宋体" w:cs="宋体"/>
                <w:sz w:val="24"/>
              </w:rPr>
            </w:pPr>
            <w:r>
              <w:rPr>
                <w:rFonts w:hint="eastAsia" w:ascii="宋体" w:hAnsi="宋体" w:eastAsia="宋体" w:cs="宋体"/>
                <w:sz w:val="24"/>
              </w:rPr>
              <w:t>(3)提交时限:成交人在合同签订前应按竞价文件要求提交履约担保；</w:t>
            </w:r>
          </w:p>
          <w:p w14:paraId="7803DAB9">
            <w:pPr>
              <w:spacing w:line="400" w:lineRule="exact"/>
              <w:rPr>
                <w:rFonts w:ascii="宋体" w:hAnsi="宋体" w:eastAsia="宋体" w:cs="宋体"/>
                <w:sz w:val="24"/>
              </w:rPr>
            </w:pPr>
            <w:r>
              <w:rPr>
                <w:rFonts w:hint="eastAsia" w:ascii="宋体" w:hAnsi="宋体" w:eastAsia="宋体" w:cs="宋体"/>
                <w:sz w:val="24"/>
              </w:rPr>
              <w:t>(4)收取单位:桐城市天正园林绿化工程有限公司</w:t>
            </w:r>
          </w:p>
          <w:p w14:paraId="7C537F3C">
            <w:pPr>
              <w:spacing w:line="400" w:lineRule="exact"/>
              <w:rPr>
                <w:rFonts w:ascii="宋体" w:hAnsi="宋体" w:eastAsia="宋体" w:cs="宋体"/>
                <w:sz w:val="24"/>
              </w:rPr>
            </w:pPr>
            <w:r>
              <w:rPr>
                <w:rFonts w:hint="eastAsia" w:ascii="宋体" w:hAnsi="宋体" w:eastAsia="宋体" w:cs="宋体"/>
                <w:sz w:val="24"/>
              </w:rPr>
              <w:t>(5)单位账号:20000381300910300000018</w:t>
            </w:r>
          </w:p>
          <w:p w14:paraId="0F245944">
            <w:pPr>
              <w:spacing w:line="400" w:lineRule="exact"/>
              <w:rPr>
                <w:rFonts w:ascii="宋体" w:hAnsi="宋体" w:eastAsia="宋体" w:cs="宋体"/>
                <w:sz w:val="24"/>
              </w:rPr>
            </w:pPr>
            <w:r>
              <w:rPr>
                <w:rFonts w:hint="eastAsia" w:ascii="宋体" w:hAnsi="宋体" w:eastAsia="宋体" w:cs="宋体"/>
                <w:sz w:val="24"/>
              </w:rPr>
              <w:t>开户银行：安徽桐城农商行和平支行</w:t>
            </w:r>
          </w:p>
          <w:p w14:paraId="45B804E9">
            <w:pPr>
              <w:spacing w:line="400" w:lineRule="exact"/>
              <w:rPr>
                <w:rFonts w:ascii="宋体" w:hAnsi="宋体" w:eastAsia="宋体" w:cs="宋体"/>
                <w:sz w:val="24"/>
              </w:rPr>
            </w:pPr>
            <w:r>
              <w:rPr>
                <w:rFonts w:hint="eastAsia" w:ascii="宋体" w:hAnsi="宋体" w:eastAsia="宋体" w:cs="宋体"/>
                <w:sz w:val="24"/>
              </w:rPr>
              <w:t>(6)退还时间:由甲方签订合同中约定，验收合格后7个工作日不计息退还。</w:t>
            </w:r>
          </w:p>
        </w:tc>
      </w:tr>
      <w:tr w14:paraId="62A89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1050" w:type="dxa"/>
            <w:vAlign w:val="center"/>
          </w:tcPr>
          <w:p w14:paraId="1D6177F6">
            <w:pPr>
              <w:spacing w:line="400" w:lineRule="exact"/>
              <w:jc w:val="center"/>
              <w:rPr>
                <w:rFonts w:ascii="宋体" w:hAnsi="宋体" w:eastAsia="宋体" w:cs="宋体"/>
                <w:sz w:val="24"/>
              </w:rPr>
            </w:pPr>
            <w:r>
              <w:rPr>
                <w:rFonts w:hint="eastAsia" w:ascii="宋体" w:hAnsi="宋体" w:eastAsia="宋体" w:cs="宋体"/>
                <w:sz w:val="24"/>
              </w:rPr>
              <w:t>7.1</w:t>
            </w:r>
          </w:p>
        </w:tc>
        <w:tc>
          <w:tcPr>
            <w:tcW w:w="1937" w:type="dxa"/>
          </w:tcPr>
          <w:p w14:paraId="1DA0F011">
            <w:pPr>
              <w:spacing w:line="400" w:lineRule="exact"/>
              <w:jc w:val="center"/>
              <w:rPr>
                <w:rFonts w:ascii="宋体" w:hAnsi="宋体" w:eastAsia="宋体" w:cs="宋体"/>
                <w:sz w:val="24"/>
              </w:rPr>
            </w:pPr>
            <w:r>
              <w:rPr>
                <w:rFonts w:hint="eastAsia" w:ascii="宋体" w:hAnsi="宋体" w:eastAsia="宋体" w:cs="宋体"/>
                <w:sz w:val="24"/>
              </w:rPr>
              <w:t>异议递交方式、接收部门、联系电话和通讯地址</w:t>
            </w:r>
          </w:p>
        </w:tc>
        <w:tc>
          <w:tcPr>
            <w:tcW w:w="5743" w:type="dxa"/>
            <w:vAlign w:val="center"/>
          </w:tcPr>
          <w:p w14:paraId="14536C50">
            <w:pPr>
              <w:spacing w:line="400" w:lineRule="exact"/>
              <w:rPr>
                <w:rFonts w:ascii="宋体" w:hAnsi="宋体" w:eastAsia="宋体" w:cs="宋体"/>
                <w:sz w:val="24"/>
              </w:rPr>
            </w:pPr>
            <w:r>
              <w:rPr>
                <w:rFonts w:hint="eastAsia" w:ascii="宋体" w:hAnsi="宋体" w:eastAsia="宋体" w:cs="宋体"/>
                <w:sz w:val="24"/>
              </w:rPr>
              <w:t>递交方式：书面形式</w:t>
            </w:r>
          </w:p>
          <w:p w14:paraId="3A1B2831">
            <w:pPr>
              <w:spacing w:line="400" w:lineRule="exact"/>
              <w:rPr>
                <w:rFonts w:ascii="宋体" w:hAnsi="宋体" w:eastAsia="宋体" w:cs="宋体"/>
                <w:sz w:val="24"/>
              </w:rPr>
            </w:pPr>
            <w:r>
              <w:rPr>
                <w:rFonts w:hint="eastAsia" w:ascii="宋体" w:hAnsi="宋体" w:eastAsia="宋体" w:cs="宋体"/>
                <w:sz w:val="24"/>
              </w:rPr>
              <w:t>接收部门：集团招标办公室</w:t>
            </w:r>
          </w:p>
          <w:p w14:paraId="5B5858D6">
            <w:pPr>
              <w:spacing w:line="400" w:lineRule="exact"/>
              <w:rPr>
                <w:rFonts w:ascii="宋体" w:hAnsi="宋体" w:eastAsia="宋体" w:cs="宋体"/>
                <w:sz w:val="24"/>
              </w:rPr>
            </w:pPr>
            <w:r>
              <w:rPr>
                <w:rFonts w:hint="eastAsia" w:ascii="宋体" w:hAnsi="宋体" w:eastAsia="宋体" w:cs="宋体"/>
                <w:sz w:val="24"/>
              </w:rPr>
              <w:t>联系电话：13865108771</w:t>
            </w:r>
          </w:p>
          <w:p w14:paraId="1097602E">
            <w:pPr>
              <w:spacing w:line="400" w:lineRule="exact"/>
              <w:rPr>
                <w:rFonts w:ascii="宋体" w:hAnsi="宋体" w:eastAsia="宋体" w:cs="宋体"/>
                <w:sz w:val="24"/>
              </w:rPr>
            </w:pPr>
            <w:r>
              <w:rPr>
                <w:rFonts w:hint="eastAsia" w:ascii="宋体" w:hAnsi="宋体" w:eastAsia="宋体" w:cs="宋体"/>
                <w:sz w:val="24"/>
              </w:rPr>
              <w:t>通讯地址:：公司大楼五楼</w:t>
            </w:r>
          </w:p>
        </w:tc>
      </w:tr>
      <w:tr w14:paraId="0A6F9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50" w:type="dxa"/>
            <w:vAlign w:val="center"/>
          </w:tcPr>
          <w:p w14:paraId="6C620C75">
            <w:pPr>
              <w:spacing w:line="400" w:lineRule="exact"/>
              <w:jc w:val="center"/>
              <w:rPr>
                <w:rFonts w:ascii="宋体" w:hAnsi="宋体" w:eastAsia="宋体" w:cs="宋体"/>
                <w:sz w:val="24"/>
              </w:rPr>
            </w:pPr>
            <w:r>
              <w:rPr>
                <w:rFonts w:hint="eastAsia" w:ascii="宋体" w:hAnsi="宋体" w:eastAsia="宋体" w:cs="宋体"/>
                <w:sz w:val="24"/>
              </w:rPr>
              <w:t>7.2</w:t>
            </w:r>
          </w:p>
        </w:tc>
        <w:tc>
          <w:tcPr>
            <w:tcW w:w="1937" w:type="dxa"/>
          </w:tcPr>
          <w:p w14:paraId="74F566E1">
            <w:pPr>
              <w:spacing w:line="400" w:lineRule="exact"/>
              <w:jc w:val="center"/>
              <w:rPr>
                <w:rFonts w:ascii="宋体" w:hAnsi="宋体" w:eastAsia="宋体" w:cs="宋体"/>
                <w:sz w:val="24"/>
              </w:rPr>
            </w:pPr>
            <w:r>
              <w:rPr>
                <w:rFonts w:hint="eastAsia" w:ascii="宋体" w:hAnsi="宋体" w:eastAsia="宋体" w:cs="宋体"/>
                <w:sz w:val="24"/>
              </w:rPr>
              <w:t>投诉递交方式、接收部门、联系电话和通讯地址</w:t>
            </w:r>
          </w:p>
        </w:tc>
        <w:tc>
          <w:tcPr>
            <w:tcW w:w="5743" w:type="dxa"/>
            <w:vAlign w:val="center"/>
          </w:tcPr>
          <w:p w14:paraId="5D7C799D">
            <w:pPr>
              <w:spacing w:line="400" w:lineRule="exact"/>
              <w:rPr>
                <w:rFonts w:ascii="宋体" w:hAnsi="宋体" w:eastAsia="宋体" w:cs="宋体"/>
                <w:sz w:val="24"/>
              </w:rPr>
            </w:pPr>
            <w:r>
              <w:rPr>
                <w:rFonts w:hint="eastAsia" w:ascii="宋体" w:hAnsi="宋体" w:eastAsia="宋体" w:cs="宋体"/>
                <w:sz w:val="24"/>
              </w:rPr>
              <w:t>递交方式：书面形式</w:t>
            </w:r>
          </w:p>
          <w:p w14:paraId="58851A97">
            <w:pPr>
              <w:spacing w:line="400" w:lineRule="exact"/>
              <w:rPr>
                <w:rFonts w:ascii="宋体" w:hAnsi="宋体" w:eastAsia="宋体" w:cs="宋体"/>
                <w:sz w:val="24"/>
              </w:rPr>
            </w:pPr>
            <w:r>
              <w:rPr>
                <w:rFonts w:hint="eastAsia" w:ascii="宋体" w:hAnsi="宋体" w:eastAsia="宋体" w:cs="宋体"/>
                <w:sz w:val="24"/>
              </w:rPr>
              <w:t>接收部门：集团招标领导小组</w:t>
            </w:r>
          </w:p>
          <w:p w14:paraId="2915AE4D">
            <w:pPr>
              <w:spacing w:line="400" w:lineRule="exact"/>
              <w:rPr>
                <w:rFonts w:ascii="宋体" w:hAnsi="宋体" w:eastAsia="宋体" w:cs="宋体"/>
                <w:sz w:val="24"/>
              </w:rPr>
            </w:pPr>
            <w:r>
              <w:rPr>
                <w:rFonts w:hint="eastAsia" w:ascii="宋体" w:hAnsi="宋体" w:eastAsia="宋体" w:cs="宋体"/>
                <w:sz w:val="24"/>
              </w:rPr>
              <w:t>联系电话：13956533076</w:t>
            </w:r>
          </w:p>
          <w:p w14:paraId="4D84FA3B">
            <w:pPr>
              <w:spacing w:line="400" w:lineRule="exact"/>
              <w:rPr>
                <w:rFonts w:ascii="宋体" w:hAnsi="宋体" w:eastAsia="宋体" w:cs="宋体"/>
                <w:sz w:val="24"/>
              </w:rPr>
            </w:pPr>
            <w:r>
              <w:rPr>
                <w:rFonts w:hint="eastAsia" w:ascii="宋体" w:hAnsi="宋体" w:eastAsia="宋体" w:cs="宋体"/>
                <w:sz w:val="24"/>
              </w:rPr>
              <w:t>通讯地址： 公司大楼八楼</w:t>
            </w:r>
          </w:p>
        </w:tc>
      </w:tr>
      <w:tr w14:paraId="080C9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50" w:type="dxa"/>
          </w:tcPr>
          <w:p w14:paraId="7F34FE74">
            <w:pPr>
              <w:spacing w:line="400" w:lineRule="exact"/>
              <w:jc w:val="center"/>
              <w:rPr>
                <w:rFonts w:ascii="宋体" w:hAnsi="宋体" w:eastAsia="宋体" w:cs="宋体"/>
                <w:sz w:val="24"/>
              </w:rPr>
            </w:pPr>
            <w:r>
              <w:rPr>
                <w:rFonts w:hint="eastAsia" w:ascii="宋体" w:hAnsi="宋体" w:eastAsia="宋体" w:cs="宋体"/>
                <w:sz w:val="24"/>
              </w:rPr>
              <w:t>8.1</w:t>
            </w:r>
          </w:p>
        </w:tc>
        <w:tc>
          <w:tcPr>
            <w:tcW w:w="1937" w:type="dxa"/>
          </w:tcPr>
          <w:p w14:paraId="582C336D">
            <w:pPr>
              <w:spacing w:line="400" w:lineRule="exact"/>
              <w:jc w:val="center"/>
              <w:rPr>
                <w:rFonts w:ascii="宋体" w:hAnsi="宋体" w:eastAsia="宋体" w:cs="宋体"/>
                <w:sz w:val="24"/>
              </w:rPr>
            </w:pPr>
            <w:r>
              <w:rPr>
                <w:rFonts w:hint="eastAsia" w:ascii="宋体" w:hAnsi="宋体" w:eastAsia="宋体" w:cs="宋体"/>
                <w:sz w:val="24"/>
              </w:rPr>
              <w:t>其他内容</w:t>
            </w:r>
          </w:p>
        </w:tc>
        <w:tc>
          <w:tcPr>
            <w:tcW w:w="5743" w:type="dxa"/>
          </w:tcPr>
          <w:p w14:paraId="14D00598">
            <w:pPr>
              <w:spacing w:line="400" w:lineRule="exact"/>
              <w:jc w:val="left"/>
              <w:rPr>
                <w:rFonts w:ascii="宋体" w:hAnsi="宋体" w:eastAsia="宋体" w:cs="宋体"/>
                <w:sz w:val="24"/>
              </w:rPr>
            </w:pPr>
            <w:r>
              <w:rPr>
                <w:rFonts w:hint="eastAsia" w:ascii="宋体" w:hAnsi="宋体" w:eastAsia="宋体" w:cs="宋体"/>
                <w:sz w:val="24"/>
              </w:rPr>
              <w:t>/</w:t>
            </w:r>
          </w:p>
        </w:tc>
      </w:tr>
      <w:tr w14:paraId="4450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050" w:type="dxa"/>
          </w:tcPr>
          <w:p w14:paraId="491798AD">
            <w:pPr>
              <w:spacing w:line="400" w:lineRule="exact"/>
              <w:jc w:val="center"/>
              <w:rPr>
                <w:rFonts w:ascii="宋体" w:hAnsi="宋体" w:eastAsia="宋体" w:cs="宋体"/>
                <w:sz w:val="24"/>
              </w:rPr>
            </w:pPr>
            <w:r>
              <w:rPr>
                <w:rFonts w:hint="eastAsia" w:ascii="宋体" w:hAnsi="宋体" w:eastAsia="宋体" w:cs="宋体"/>
                <w:sz w:val="24"/>
              </w:rPr>
              <w:t>9.1</w:t>
            </w:r>
          </w:p>
        </w:tc>
        <w:tc>
          <w:tcPr>
            <w:tcW w:w="1937" w:type="dxa"/>
          </w:tcPr>
          <w:p w14:paraId="01C110F4">
            <w:pPr>
              <w:spacing w:line="400" w:lineRule="exact"/>
              <w:jc w:val="center"/>
              <w:rPr>
                <w:rFonts w:ascii="宋体" w:hAnsi="宋体" w:eastAsia="宋体" w:cs="宋体"/>
                <w:sz w:val="24"/>
              </w:rPr>
            </w:pPr>
            <w:r>
              <w:rPr>
                <w:rFonts w:hint="eastAsia" w:ascii="宋体" w:hAnsi="宋体" w:eastAsia="宋体" w:cs="宋体"/>
                <w:sz w:val="24"/>
              </w:rPr>
              <w:t>质量标准要求</w:t>
            </w:r>
          </w:p>
        </w:tc>
        <w:tc>
          <w:tcPr>
            <w:tcW w:w="5743" w:type="dxa"/>
          </w:tcPr>
          <w:p w14:paraId="07786FE8">
            <w:pPr>
              <w:spacing w:line="400" w:lineRule="exact"/>
              <w:jc w:val="left"/>
              <w:rPr>
                <w:rFonts w:ascii="宋体" w:hAnsi="宋体" w:eastAsia="宋体" w:cs="宋体"/>
                <w:sz w:val="24"/>
              </w:rPr>
            </w:pPr>
            <w:r>
              <w:rPr>
                <w:rFonts w:hint="eastAsia" w:ascii="宋体" w:hAnsi="宋体" w:eastAsia="宋体" w:cs="宋体"/>
                <w:sz w:val="24"/>
              </w:rPr>
              <w:t>质量标准：合格</w:t>
            </w:r>
          </w:p>
        </w:tc>
      </w:tr>
      <w:tr w14:paraId="6609F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050" w:type="dxa"/>
          </w:tcPr>
          <w:p w14:paraId="52A9B997">
            <w:pPr>
              <w:spacing w:line="400" w:lineRule="exact"/>
              <w:jc w:val="center"/>
              <w:rPr>
                <w:rFonts w:ascii="宋体" w:hAnsi="宋体" w:eastAsia="宋体" w:cs="宋体"/>
                <w:sz w:val="24"/>
              </w:rPr>
            </w:pPr>
            <w:r>
              <w:rPr>
                <w:rFonts w:hint="eastAsia" w:ascii="宋体" w:hAnsi="宋体" w:eastAsia="宋体" w:cs="宋体"/>
                <w:sz w:val="24"/>
              </w:rPr>
              <w:t>10.1</w:t>
            </w:r>
          </w:p>
        </w:tc>
        <w:tc>
          <w:tcPr>
            <w:tcW w:w="1937" w:type="dxa"/>
          </w:tcPr>
          <w:p w14:paraId="4E42BE9C">
            <w:pPr>
              <w:spacing w:line="400" w:lineRule="exact"/>
              <w:jc w:val="center"/>
              <w:rPr>
                <w:rFonts w:ascii="宋体" w:hAnsi="宋体" w:eastAsia="宋体" w:cs="宋体"/>
                <w:sz w:val="24"/>
              </w:rPr>
            </w:pPr>
            <w:r>
              <w:rPr>
                <w:rFonts w:hint="eastAsia" w:ascii="宋体" w:hAnsi="宋体" w:eastAsia="宋体" w:cs="宋体"/>
                <w:sz w:val="24"/>
              </w:rPr>
              <w:t>现场条件</w:t>
            </w:r>
          </w:p>
        </w:tc>
        <w:tc>
          <w:tcPr>
            <w:tcW w:w="5743" w:type="dxa"/>
          </w:tcPr>
          <w:p w14:paraId="127C5E77">
            <w:pPr>
              <w:spacing w:line="400" w:lineRule="exact"/>
              <w:jc w:val="left"/>
              <w:rPr>
                <w:rFonts w:ascii="宋体" w:hAnsi="宋体" w:eastAsia="宋体" w:cs="宋体"/>
                <w:sz w:val="24"/>
              </w:rPr>
            </w:pPr>
            <w:r>
              <w:rPr>
                <w:rFonts w:hint="eastAsia" w:ascii="宋体" w:hAnsi="宋体" w:eastAsia="宋体" w:cs="宋体"/>
                <w:sz w:val="24"/>
              </w:rPr>
              <w:t>具备开工条件</w:t>
            </w:r>
          </w:p>
        </w:tc>
      </w:tr>
      <w:tr w14:paraId="32A7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9" w:hRule="atLeast"/>
        </w:trPr>
        <w:tc>
          <w:tcPr>
            <w:tcW w:w="1050" w:type="dxa"/>
            <w:vAlign w:val="center"/>
          </w:tcPr>
          <w:p w14:paraId="4D762E0C">
            <w:pPr>
              <w:spacing w:line="400" w:lineRule="exact"/>
              <w:jc w:val="center"/>
              <w:rPr>
                <w:rFonts w:ascii="宋体" w:hAnsi="宋体" w:eastAsia="宋体" w:cs="宋体"/>
                <w:sz w:val="24"/>
              </w:rPr>
            </w:pPr>
            <w:r>
              <w:rPr>
                <w:rFonts w:hint="eastAsia" w:ascii="宋体" w:hAnsi="宋体" w:eastAsia="宋体" w:cs="宋体"/>
                <w:sz w:val="24"/>
              </w:rPr>
              <w:t>11.1</w:t>
            </w:r>
          </w:p>
        </w:tc>
        <w:tc>
          <w:tcPr>
            <w:tcW w:w="1937" w:type="dxa"/>
            <w:vAlign w:val="center"/>
          </w:tcPr>
          <w:p w14:paraId="6EBAC036">
            <w:pPr>
              <w:spacing w:line="400" w:lineRule="exact"/>
              <w:jc w:val="center"/>
              <w:rPr>
                <w:rFonts w:ascii="宋体" w:hAnsi="宋体" w:eastAsia="宋体" w:cs="宋体"/>
                <w:sz w:val="24"/>
              </w:rPr>
            </w:pPr>
            <w:r>
              <w:rPr>
                <w:rFonts w:hint="eastAsia" w:ascii="宋体" w:hAnsi="宋体" w:eastAsia="宋体" w:cs="宋体"/>
                <w:sz w:val="24"/>
              </w:rPr>
              <w:t>招标单位提供的资料</w:t>
            </w:r>
          </w:p>
        </w:tc>
        <w:tc>
          <w:tcPr>
            <w:tcW w:w="5743" w:type="dxa"/>
            <w:vAlign w:val="center"/>
          </w:tcPr>
          <w:p w14:paraId="56483385">
            <w:pPr>
              <w:spacing w:line="400" w:lineRule="exac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竞价文件</w:t>
            </w:r>
          </w:p>
          <w:p w14:paraId="5B476550">
            <w:pPr>
              <w:spacing w:line="400" w:lineRule="exact"/>
              <w:rPr>
                <w:rFonts w:ascii="宋体" w:hAnsi="宋体" w:eastAsia="宋体" w:cs="宋体"/>
                <w:sz w:val="24"/>
              </w:rPr>
            </w:pPr>
            <w:r>
              <w:rPr>
                <w:rFonts w:hint="eastAsia" w:ascii="宋体" w:hAnsi="宋体" w:eastAsia="宋体" w:cs="宋体"/>
                <w:sz w:val="24"/>
              </w:rPr>
              <w:sym w:font="Wingdings 2" w:char="00A3"/>
            </w:r>
            <w:r>
              <w:rPr>
                <w:rFonts w:hint="eastAsia" w:ascii="宋体" w:hAnsi="宋体" w:eastAsia="宋体" w:cs="宋体"/>
                <w:sz w:val="24"/>
              </w:rPr>
              <w:t>工程量清单</w:t>
            </w:r>
          </w:p>
          <w:p w14:paraId="443EA641">
            <w:pPr>
              <w:spacing w:line="400" w:lineRule="exact"/>
              <w:rPr>
                <w:rFonts w:ascii="宋体" w:hAnsi="宋体" w:eastAsia="宋体" w:cs="宋体"/>
                <w:sz w:val="24"/>
              </w:rPr>
            </w:pPr>
            <w:r>
              <w:rPr>
                <w:rFonts w:hint="eastAsia" w:ascii="宋体" w:hAnsi="宋体" w:eastAsia="宋体" w:cs="宋体"/>
                <w:sz w:val="24"/>
              </w:rPr>
              <w:sym w:font="Wingdings 2" w:char="0052"/>
            </w:r>
            <w:r>
              <w:rPr>
                <w:rFonts w:hint="eastAsia" w:ascii="宋体" w:hAnsi="宋体" w:eastAsia="宋体" w:cs="宋体"/>
                <w:sz w:val="24"/>
              </w:rPr>
              <w:t>最高投标限价(控制价)</w:t>
            </w:r>
          </w:p>
        </w:tc>
      </w:tr>
      <w:tr w14:paraId="24E1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1050" w:type="dxa"/>
            <w:vAlign w:val="center"/>
          </w:tcPr>
          <w:p w14:paraId="2B870AC0">
            <w:pPr>
              <w:spacing w:line="400" w:lineRule="exact"/>
              <w:jc w:val="center"/>
              <w:rPr>
                <w:rFonts w:ascii="宋体" w:hAnsi="宋体" w:eastAsia="宋体" w:cs="宋体"/>
                <w:sz w:val="24"/>
              </w:rPr>
            </w:pPr>
            <w:r>
              <w:rPr>
                <w:rFonts w:hint="eastAsia" w:ascii="宋体" w:hAnsi="宋体" w:eastAsia="宋体" w:cs="宋体"/>
                <w:sz w:val="24"/>
              </w:rPr>
              <w:t>12.1</w:t>
            </w:r>
          </w:p>
        </w:tc>
        <w:tc>
          <w:tcPr>
            <w:tcW w:w="1937" w:type="dxa"/>
            <w:vAlign w:val="center"/>
          </w:tcPr>
          <w:p w14:paraId="7927D297">
            <w:pPr>
              <w:spacing w:line="400" w:lineRule="exact"/>
              <w:jc w:val="center"/>
              <w:rPr>
                <w:rFonts w:ascii="宋体" w:hAnsi="宋体" w:eastAsia="宋体" w:cs="宋体"/>
                <w:color w:val="FF0000"/>
                <w:sz w:val="24"/>
                <w:highlight w:val="yellow"/>
              </w:rPr>
            </w:pPr>
            <w:r>
              <w:rPr>
                <w:rFonts w:hint="eastAsia" w:ascii="宋体" w:hAnsi="宋体" w:eastAsia="宋体" w:cs="宋体"/>
                <w:sz w:val="24"/>
              </w:rPr>
              <w:t>特别提醒</w:t>
            </w:r>
          </w:p>
        </w:tc>
        <w:tc>
          <w:tcPr>
            <w:tcW w:w="5743" w:type="dxa"/>
            <w:vAlign w:val="center"/>
          </w:tcPr>
          <w:p w14:paraId="492C5D10">
            <w:pPr>
              <w:spacing w:line="400" w:lineRule="exact"/>
              <w:jc w:val="center"/>
              <w:rPr>
                <w:rFonts w:ascii="宋体" w:hAnsi="宋体" w:eastAsia="宋体" w:cs="宋体"/>
                <w:color w:val="FF0000"/>
                <w:sz w:val="24"/>
                <w:highlight w:val="yellow"/>
              </w:rPr>
            </w:pPr>
            <w:r>
              <w:rPr>
                <w:rFonts w:hint="eastAsia" w:ascii="宋体" w:hAnsi="宋体" w:eastAsia="宋体" w:cs="宋体"/>
                <w:sz w:val="24"/>
              </w:rPr>
              <w:t>养护期内，若有新增绿化面积，按养护移交日成交单价计算</w:t>
            </w:r>
          </w:p>
        </w:tc>
      </w:tr>
    </w:tbl>
    <w:p w14:paraId="7E6AA519">
      <w:pPr>
        <w:spacing w:line="400" w:lineRule="exact"/>
        <w:rPr>
          <w:rFonts w:ascii="宋体" w:hAnsi="宋体" w:eastAsia="宋体" w:cs="宋体"/>
          <w:sz w:val="24"/>
        </w:rPr>
      </w:pPr>
      <w:r>
        <w:rPr>
          <w:rFonts w:hint="eastAsia" w:ascii="宋体" w:hAnsi="宋体" w:eastAsia="宋体" w:cs="宋体"/>
          <w:sz w:val="24"/>
        </w:rPr>
        <w:t>注：如投标单位须知前附表与本部分对同一内容的规定不一致，以投标单位须知前附表的规定为准。</w:t>
      </w:r>
    </w:p>
    <w:p w14:paraId="751643A5">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r>
        <w:rPr>
          <w:rFonts w:hint="eastAsia" w:ascii="华文中宋" w:hAnsi="华文中宋" w:eastAsia="华文中宋" w:cs="华文中宋"/>
          <w:b/>
          <w:bCs/>
          <w:snapToGrid w:val="0"/>
          <w:color w:val="000000"/>
          <w:kern w:val="0"/>
          <w:sz w:val="36"/>
          <w:szCs w:val="36"/>
        </w:rPr>
        <w:t>第三章  招标单位需求</w:t>
      </w:r>
    </w:p>
    <w:p w14:paraId="553B782E">
      <w:pPr>
        <w:widowControl/>
        <w:kinsoku w:val="0"/>
        <w:autoSpaceDE w:val="0"/>
        <w:autoSpaceDN w:val="0"/>
        <w:adjustRightInd w:val="0"/>
        <w:snapToGrid w:val="0"/>
        <w:spacing w:before="12" w:line="200" w:lineRule="auto"/>
        <w:jc w:val="center"/>
        <w:textAlignment w:val="baseline"/>
        <w:rPr>
          <w:rFonts w:ascii="华文中宋" w:hAnsi="华文中宋" w:eastAsia="华文中宋" w:cs="华文中宋"/>
          <w:b/>
          <w:bCs/>
          <w:snapToGrid w:val="0"/>
          <w:color w:val="000000"/>
          <w:kern w:val="0"/>
          <w:sz w:val="36"/>
          <w:szCs w:val="36"/>
        </w:rPr>
      </w:pPr>
    </w:p>
    <w:p w14:paraId="1A9B9729">
      <w:pPr>
        <w:spacing w:line="500" w:lineRule="exact"/>
        <w:rPr>
          <w:rFonts w:ascii="宋体" w:hAnsi="宋体" w:eastAsia="宋体" w:cs="宋体"/>
          <w:b/>
          <w:bCs/>
          <w:sz w:val="28"/>
          <w:szCs w:val="28"/>
        </w:rPr>
      </w:pPr>
      <w:r>
        <w:rPr>
          <w:rFonts w:hint="eastAsia" w:ascii="宋体" w:hAnsi="宋体" w:eastAsia="宋体" w:cs="宋体"/>
          <w:b/>
          <w:bCs/>
          <w:sz w:val="28"/>
          <w:szCs w:val="28"/>
        </w:rPr>
        <w:t>一、人员到岗及履约要求：</w:t>
      </w:r>
    </w:p>
    <w:p w14:paraId="1A161B5F">
      <w:pPr>
        <w:spacing w:line="500" w:lineRule="exact"/>
        <w:rPr>
          <w:rFonts w:ascii="宋体" w:hAnsi="宋体" w:eastAsia="宋体" w:cs="宋体"/>
          <w:sz w:val="28"/>
          <w:szCs w:val="28"/>
        </w:rPr>
      </w:pPr>
      <w:r>
        <w:rPr>
          <w:rFonts w:hint="eastAsia" w:ascii="宋体" w:hAnsi="宋体" w:eastAsia="宋体" w:cs="宋体"/>
          <w:sz w:val="28"/>
          <w:szCs w:val="28"/>
        </w:rPr>
        <w:t>（1）投标单位一旦成交，养护现场负责人及养护机械等在整个养护期内必须在位，否则招标单位有权终止合同，由此造成的损失，成交投标单位自行承担并赔偿可能给招标单位造成的损失</w:t>
      </w:r>
    </w:p>
    <w:p w14:paraId="267BC114">
      <w:pPr>
        <w:spacing w:line="500" w:lineRule="exact"/>
        <w:rPr>
          <w:rFonts w:ascii="宋体" w:hAnsi="宋体" w:eastAsia="宋体" w:cs="宋体"/>
          <w:sz w:val="28"/>
          <w:szCs w:val="28"/>
        </w:rPr>
      </w:pPr>
      <w:r>
        <w:rPr>
          <w:rFonts w:hint="eastAsia" w:ascii="宋体" w:hAnsi="宋体" w:eastAsia="宋体" w:cs="宋体"/>
          <w:sz w:val="28"/>
          <w:szCs w:val="28"/>
        </w:rPr>
        <w:t>(2)成交投标单位不得擅自更换项目部主要管理人员。确需更换时，须报招标单位同意。</w:t>
      </w:r>
    </w:p>
    <w:p w14:paraId="59CA3AAC">
      <w:pPr>
        <w:spacing w:line="500" w:lineRule="exact"/>
        <w:rPr>
          <w:rFonts w:ascii="宋体" w:hAnsi="宋体" w:eastAsia="宋体" w:cs="宋体"/>
          <w:sz w:val="28"/>
          <w:szCs w:val="28"/>
        </w:rPr>
      </w:pPr>
      <w:r>
        <w:rPr>
          <w:rFonts w:hint="eastAsia" w:ascii="宋体" w:hAnsi="宋体" w:eastAsia="宋体" w:cs="宋体"/>
          <w:sz w:val="28"/>
          <w:szCs w:val="28"/>
        </w:rPr>
        <w:t>(3)成交投标单位未能按照承诺到岗尽职的，招标单位将视情况严重程度对其作出相应处理，给予警告并发出整改通知，如仍未及时整改 ，招标单位有权责令其停工整改、直至终止合同。</w:t>
      </w:r>
    </w:p>
    <w:p w14:paraId="06DF6C8B">
      <w:pPr>
        <w:spacing w:line="500" w:lineRule="exact"/>
        <w:rPr>
          <w:rFonts w:ascii="宋体" w:hAnsi="宋体" w:eastAsia="宋体" w:cs="宋体"/>
          <w:b/>
          <w:bCs/>
          <w:sz w:val="28"/>
          <w:szCs w:val="28"/>
        </w:rPr>
      </w:pPr>
      <w:r>
        <w:rPr>
          <w:rFonts w:hint="eastAsia" w:ascii="宋体" w:hAnsi="宋体" w:eastAsia="宋体" w:cs="宋体"/>
          <w:b/>
          <w:bCs/>
          <w:sz w:val="28"/>
          <w:szCs w:val="28"/>
        </w:rPr>
        <w:t>二、养护要求：详见附件《园林绿化养护管理考核、评分标准及处罚细则》</w:t>
      </w:r>
    </w:p>
    <w:p w14:paraId="3106504B">
      <w:pPr>
        <w:spacing w:line="500" w:lineRule="exact"/>
        <w:rPr>
          <w:rFonts w:ascii="宋体" w:hAnsi="宋体" w:eastAsia="宋体" w:cs="宋体"/>
          <w:b/>
          <w:bCs/>
          <w:sz w:val="28"/>
          <w:szCs w:val="28"/>
        </w:rPr>
      </w:pPr>
      <w:r>
        <w:rPr>
          <w:rFonts w:hint="eastAsia" w:ascii="宋体" w:hAnsi="宋体" w:eastAsia="宋体" w:cs="宋体"/>
          <w:b/>
          <w:bCs/>
          <w:sz w:val="28"/>
          <w:szCs w:val="28"/>
        </w:rPr>
        <w:t>三、重要说明：</w:t>
      </w:r>
    </w:p>
    <w:p w14:paraId="62230169">
      <w:pPr>
        <w:spacing w:line="500" w:lineRule="exact"/>
        <w:rPr>
          <w:rFonts w:ascii="宋体" w:hAnsi="宋体" w:eastAsia="宋体" w:cs="宋体"/>
          <w:sz w:val="28"/>
          <w:szCs w:val="28"/>
        </w:rPr>
      </w:pPr>
      <w:r>
        <w:rPr>
          <w:rFonts w:ascii="宋体" w:hAnsi="宋体" w:eastAsia="宋体" w:cs="宋体"/>
          <w:sz w:val="28"/>
          <w:szCs w:val="28"/>
        </w:rPr>
        <w:t>(1)</w:t>
      </w:r>
      <w:r>
        <w:rPr>
          <w:rFonts w:hint="eastAsia" w:ascii="宋体" w:hAnsi="宋体" w:eastAsia="宋体" w:cs="宋体"/>
          <w:sz w:val="28"/>
          <w:szCs w:val="28"/>
        </w:rPr>
        <w:t>劳务分包</w:t>
      </w:r>
      <w:r>
        <w:rPr>
          <w:rFonts w:ascii="宋体" w:hAnsi="宋体" w:eastAsia="宋体" w:cs="宋体"/>
          <w:sz w:val="28"/>
          <w:szCs w:val="28"/>
        </w:rPr>
        <w:t>在工程实施过程中用工行为，必须严格执行国家及地方政府的有关规定，依法签订劳动合同，并按规定及时足额支付工资。</w:t>
      </w:r>
    </w:p>
    <w:p w14:paraId="2E660C3F">
      <w:pPr>
        <w:spacing w:line="500" w:lineRule="exact"/>
        <w:rPr>
          <w:rFonts w:ascii="宋体" w:hAnsi="宋体" w:eastAsia="宋体" w:cs="宋体"/>
          <w:sz w:val="28"/>
          <w:szCs w:val="28"/>
        </w:rPr>
      </w:pPr>
      <w:r>
        <w:rPr>
          <w:rFonts w:ascii="宋体" w:hAnsi="宋体" w:eastAsia="宋体" w:cs="宋体"/>
          <w:sz w:val="28"/>
          <w:szCs w:val="28"/>
        </w:rPr>
        <w:t>(2)关于项</w:t>
      </w:r>
      <w:r>
        <w:rPr>
          <w:rFonts w:hint="eastAsia" w:ascii="宋体" w:hAnsi="宋体" w:eastAsia="宋体" w:cs="宋体"/>
          <w:sz w:val="28"/>
          <w:szCs w:val="28"/>
        </w:rPr>
        <w:t>目管理人员</w:t>
      </w:r>
      <w:r>
        <w:rPr>
          <w:rFonts w:ascii="宋体" w:hAnsi="宋体" w:eastAsia="宋体" w:cs="宋体"/>
          <w:sz w:val="28"/>
          <w:szCs w:val="28"/>
        </w:rPr>
        <w:t>在施工现场的时间要求:驻场时间每月不少于 22天，每天在岗工作时间不得少于8小时，项目管理人员离开现场的必须事先书面请假。</w:t>
      </w:r>
    </w:p>
    <w:p w14:paraId="1BC4AF81">
      <w:pPr>
        <w:spacing w:line="500" w:lineRule="exact"/>
        <w:rPr>
          <w:rFonts w:ascii="宋体" w:hAnsi="宋体" w:eastAsia="宋体" w:cs="宋体"/>
          <w:b/>
          <w:bCs/>
          <w:sz w:val="28"/>
          <w:szCs w:val="28"/>
        </w:rPr>
      </w:pPr>
      <w:r>
        <w:rPr>
          <w:rFonts w:hint="eastAsia" w:ascii="宋体" w:hAnsi="宋体" w:eastAsia="宋体" w:cs="宋体"/>
          <w:b/>
          <w:bCs/>
          <w:sz w:val="28"/>
          <w:szCs w:val="28"/>
        </w:rPr>
        <w:t>四、合同价格：</w:t>
      </w:r>
    </w:p>
    <w:p w14:paraId="5BD29E73">
      <w:pPr>
        <w:spacing w:line="500" w:lineRule="exact"/>
        <w:rPr>
          <w:rFonts w:ascii="宋体" w:hAnsi="宋体" w:eastAsia="宋体" w:cs="宋体"/>
          <w:sz w:val="28"/>
          <w:szCs w:val="28"/>
        </w:rPr>
      </w:pPr>
      <w:r>
        <w:rPr>
          <w:rFonts w:hint="eastAsia" w:ascii="宋体" w:hAnsi="宋体" w:eastAsia="宋体" w:cs="宋体"/>
          <w:b/>
          <w:bCs/>
          <w:sz w:val="28"/>
          <w:szCs w:val="28"/>
        </w:rPr>
        <w:t>合同价格形式：</w:t>
      </w:r>
      <w:r>
        <w:rPr>
          <w:rFonts w:hint="eastAsia" w:ascii="宋体" w:hAnsi="宋体" w:eastAsia="宋体" w:cs="宋体"/>
          <w:sz w:val="28"/>
          <w:szCs w:val="28"/>
        </w:rPr>
        <w:t>总价合同。总价包含的风险范围：</w:t>
      </w:r>
    </w:p>
    <w:p w14:paraId="63F41146">
      <w:pPr>
        <w:spacing w:line="500" w:lineRule="exact"/>
        <w:rPr>
          <w:rFonts w:ascii="宋体" w:hAnsi="宋体" w:eastAsia="宋体" w:cs="宋体"/>
          <w:sz w:val="28"/>
          <w:szCs w:val="28"/>
        </w:rPr>
      </w:pPr>
      <w:r>
        <w:rPr>
          <w:rFonts w:hint="eastAsia" w:ascii="宋体" w:hAnsi="宋体" w:eastAsia="宋体" w:cs="宋体"/>
          <w:sz w:val="28"/>
          <w:szCs w:val="28"/>
        </w:rPr>
        <w:t>1、报价人已经仔细勘察现场，了解现场各项养护条件。</w:t>
      </w:r>
    </w:p>
    <w:p w14:paraId="155B781F">
      <w:pPr>
        <w:spacing w:line="500" w:lineRule="exact"/>
        <w:rPr>
          <w:rFonts w:ascii="宋体" w:hAnsi="宋体" w:eastAsia="宋体" w:cs="宋体"/>
          <w:sz w:val="28"/>
          <w:szCs w:val="28"/>
        </w:rPr>
      </w:pPr>
      <w:r>
        <w:rPr>
          <w:rFonts w:hint="eastAsia" w:ascii="宋体" w:hAnsi="宋体" w:eastAsia="宋体" w:cs="宋体"/>
          <w:sz w:val="28"/>
          <w:szCs w:val="28"/>
        </w:rPr>
        <w:t>2、根据养护特点和现场因素发生的所有措施性费用、为实施和完成工程所需的劳务费、材料费、施工机械费、临舍、水电、缺陷修复费、安全设施费、管理费用、税金、保险费、利润、规费（含环保部门收取的相关费用）等所有费用以及本竞价文件所述的施工风险、责任和义务均包含在合同总价内。</w:t>
      </w:r>
    </w:p>
    <w:p w14:paraId="64E161CC">
      <w:pPr>
        <w:spacing w:line="500" w:lineRule="exact"/>
        <w:rPr>
          <w:rFonts w:ascii="宋体" w:hAnsi="宋体" w:eastAsia="宋体" w:cs="宋体"/>
          <w:sz w:val="28"/>
          <w:szCs w:val="28"/>
        </w:rPr>
      </w:pPr>
      <w:r>
        <w:rPr>
          <w:rFonts w:hint="eastAsia" w:ascii="宋体" w:hAnsi="宋体" w:eastAsia="宋体" w:cs="宋体"/>
          <w:b/>
          <w:sz w:val="28"/>
          <w:szCs w:val="28"/>
        </w:rPr>
        <w:t>五、付款方式及考核:</w:t>
      </w:r>
    </w:p>
    <w:p w14:paraId="23D658C2">
      <w:pPr>
        <w:spacing w:line="500" w:lineRule="exact"/>
        <w:rPr>
          <w:rFonts w:ascii="宋体" w:hAnsi="宋体" w:eastAsia="宋体" w:cs="宋体"/>
          <w:sz w:val="28"/>
          <w:szCs w:val="28"/>
        </w:rPr>
      </w:pPr>
      <w:r>
        <w:rPr>
          <w:rFonts w:hint="eastAsia" w:ascii="宋体" w:hAnsi="宋体" w:eastAsia="宋体" w:cs="宋体"/>
          <w:sz w:val="28"/>
          <w:szCs w:val="28"/>
        </w:rPr>
        <w:t>1、付款条件：按月度计算养护经费。</w:t>
      </w:r>
    </w:p>
    <w:p w14:paraId="4446810B">
      <w:pPr>
        <w:spacing w:line="500" w:lineRule="exact"/>
        <w:rPr>
          <w:rFonts w:ascii="宋体" w:hAnsi="宋体" w:eastAsia="宋体" w:cs="宋体"/>
          <w:sz w:val="28"/>
          <w:szCs w:val="28"/>
        </w:rPr>
      </w:pPr>
      <w:r>
        <w:rPr>
          <w:rFonts w:hint="eastAsia" w:ascii="宋体" w:hAnsi="宋体" w:eastAsia="宋体" w:cs="宋体"/>
          <w:sz w:val="28"/>
          <w:szCs w:val="28"/>
        </w:rPr>
        <w:t>（1）按季度考核结果，每年度结束一并结算支付当年已完成服务内容的90%，服务期结束后30日内结清。</w:t>
      </w:r>
    </w:p>
    <w:p w14:paraId="0FC98D43">
      <w:pPr>
        <w:spacing w:line="500" w:lineRule="exact"/>
        <w:rPr>
          <w:rFonts w:ascii="宋体" w:hAnsi="宋体" w:eastAsia="宋体" w:cs="宋体"/>
          <w:sz w:val="28"/>
          <w:szCs w:val="28"/>
        </w:rPr>
      </w:pPr>
      <w:r>
        <w:rPr>
          <w:rFonts w:hint="eastAsia" w:ascii="宋体" w:hAnsi="宋体" w:eastAsia="宋体" w:cs="宋体"/>
          <w:sz w:val="28"/>
          <w:szCs w:val="28"/>
        </w:rPr>
        <w:t>（2）季度考核，依据检查考核情况于下季度10日前（节假日顺延）拨付承包方上月养护经费；即季度考核得分在95分以上（含95分），月养护经费全额拨付；得分在75分-95分（含80分）之间的，与95分比较，每下降1分，季度养护经费扣除200元，以此类推；得分在75分以下（不含80分），当月月养护经费按60%支付，连续超过二次75分以下，业主将终止合同。</w:t>
      </w:r>
    </w:p>
    <w:p w14:paraId="3EE7F62A">
      <w:pPr>
        <w:spacing w:line="500" w:lineRule="exact"/>
        <w:jc w:val="left"/>
        <w:rPr>
          <w:rFonts w:ascii="宋体" w:hAnsi="宋体" w:eastAsia="宋体" w:cs="宋体"/>
          <w:sz w:val="28"/>
          <w:szCs w:val="28"/>
        </w:rPr>
      </w:pPr>
      <w:r>
        <w:rPr>
          <w:rFonts w:hint="eastAsia" w:ascii="宋体" w:hAnsi="宋体" w:eastAsia="宋体" w:cs="宋体"/>
          <w:sz w:val="28"/>
          <w:szCs w:val="28"/>
        </w:rPr>
        <w:t>（3）年终综合考评：全年中季度考核平均分在95分（含95分）以上，评为年度优良养护工程；在下一轮养护工程投标中作为加分的依据。</w:t>
      </w:r>
    </w:p>
    <w:p w14:paraId="7B8C66AC">
      <w:pPr>
        <w:spacing w:line="500" w:lineRule="exact"/>
        <w:rPr>
          <w:rFonts w:ascii="宋体" w:hAnsi="宋体" w:eastAsia="宋体" w:cs="宋体"/>
          <w:sz w:val="28"/>
          <w:szCs w:val="28"/>
        </w:rPr>
      </w:pPr>
      <w:r>
        <w:rPr>
          <w:rFonts w:hint="eastAsia" w:ascii="宋体" w:hAnsi="宋体" w:eastAsia="宋体" w:cs="宋体"/>
          <w:sz w:val="28"/>
          <w:szCs w:val="28"/>
        </w:rPr>
        <w:t>（4）考核不合格扣除当季度全部养管费用且连续四个季度考核不合格的招标单位有权终止合同。</w:t>
      </w:r>
    </w:p>
    <w:p w14:paraId="2BB05812">
      <w:pPr>
        <w:spacing w:line="500" w:lineRule="exact"/>
        <w:rPr>
          <w:rFonts w:ascii="宋体" w:hAnsi="宋体" w:eastAsia="宋体" w:cs="宋体"/>
          <w:sz w:val="28"/>
          <w:szCs w:val="28"/>
        </w:rPr>
      </w:pPr>
      <w:r>
        <w:rPr>
          <w:rFonts w:hint="eastAsia" w:ascii="宋体" w:hAnsi="宋体" w:eastAsia="宋体" w:cs="宋体"/>
          <w:sz w:val="28"/>
          <w:szCs w:val="28"/>
        </w:rPr>
        <w:t>2、考核管理：</w:t>
      </w:r>
    </w:p>
    <w:p w14:paraId="6108BF85">
      <w:pPr>
        <w:spacing w:line="500" w:lineRule="exact"/>
        <w:rPr>
          <w:rFonts w:ascii="宋体" w:hAnsi="宋体" w:eastAsia="宋体" w:cs="宋体"/>
          <w:sz w:val="28"/>
          <w:szCs w:val="28"/>
        </w:rPr>
      </w:pPr>
      <w:r>
        <w:rPr>
          <w:rFonts w:hint="eastAsia" w:ascii="宋体" w:hAnsi="宋体" w:eastAsia="宋体" w:cs="宋体"/>
          <w:sz w:val="28"/>
          <w:szCs w:val="28"/>
        </w:rPr>
        <w:t>招标单位成立考核领导小组，下设日常考核组。</w:t>
      </w:r>
    </w:p>
    <w:p w14:paraId="42F2208D">
      <w:pPr>
        <w:widowControl/>
        <w:kinsoku w:val="0"/>
        <w:autoSpaceDE w:val="0"/>
        <w:autoSpaceDN w:val="0"/>
        <w:adjustRightInd w:val="0"/>
        <w:snapToGrid w:val="0"/>
        <w:spacing w:before="12" w:line="200" w:lineRule="auto"/>
        <w:ind w:left="9" w:leftChars="-1319" w:hanging="2779" w:hangingChars="769"/>
        <w:jc w:val="left"/>
        <w:textAlignment w:val="baseline"/>
        <w:rPr>
          <w:rFonts w:ascii="华文中宋" w:hAnsi="华文中宋" w:eastAsia="华文中宋" w:cs="华文中宋"/>
          <w:b/>
          <w:bCs/>
          <w:snapToGrid w:val="0"/>
          <w:color w:val="000000"/>
          <w:kern w:val="0"/>
          <w:sz w:val="36"/>
          <w:szCs w:val="36"/>
        </w:rPr>
      </w:pPr>
    </w:p>
    <w:p w14:paraId="314ECD21">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26653B8E">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137C909F">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5661E48C">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2C2F2E17">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6D95D22C">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26CD24E6">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78A35561">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1EA091C4">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7C2F09EA">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6352B7D2">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6EAF84CA">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2FA46DDC">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5B5B6AC6">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7F3939AF">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0BF6BA5B">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p>
    <w:p w14:paraId="73BE4E4C">
      <w:pPr>
        <w:widowControl/>
        <w:kinsoku w:val="0"/>
        <w:autoSpaceDE w:val="0"/>
        <w:autoSpaceDN w:val="0"/>
        <w:adjustRightInd w:val="0"/>
        <w:snapToGrid w:val="0"/>
        <w:spacing w:before="12" w:line="200" w:lineRule="auto"/>
        <w:ind w:left="2770"/>
        <w:jc w:val="left"/>
        <w:textAlignment w:val="baseline"/>
        <w:rPr>
          <w:rFonts w:ascii="华文中宋" w:hAnsi="华文中宋" w:eastAsia="华文中宋" w:cs="华文中宋"/>
          <w:b/>
          <w:bCs/>
          <w:snapToGrid w:val="0"/>
          <w:color w:val="000000"/>
          <w:kern w:val="0"/>
          <w:sz w:val="36"/>
          <w:szCs w:val="36"/>
        </w:rPr>
      </w:pPr>
      <w:r>
        <w:rPr>
          <w:rFonts w:ascii="华文中宋" w:hAnsi="华文中宋" w:eastAsia="华文中宋" w:cs="华文中宋"/>
          <w:b/>
          <w:bCs/>
          <w:snapToGrid w:val="0"/>
          <w:color w:val="000000"/>
          <w:kern w:val="0"/>
          <w:sz w:val="36"/>
          <w:szCs w:val="36"/>
        </w:rPr>
        <w:t>第</w:t>
      </w:r>
      <w:r>
        <w:rPr>
          <w:rFonts w:hint="eastAsia" w:ascii="华文中宋" w:hAnsi="华文中宋" w:eastAsia="华文中宋" w:cs="华文中宋"/>
          <w:b/>
          <w:bCs/>
          <w:snapToGrid w:val="0"/>
          <w:color w:val="000000"/>
          <w:kern w:val="0"/>
          <w:sz w:val="36"/>
          <w:szCs w:val="36"/>
        </w:rPr>
        <w:t>四</w:t>
      </w:r>
      <w:r>
        <w:rPr>
          <w:rFonts w:ascii="华文中宋" w:hAnsi="华文中宋" w:eastAsia="华文中宋" w:cs="华文中宋"/>
          <w:b/>
          <w:bCs/>
          <w:snapToGrid w:val="0"/>
          <w:color w:val="000000"/>
          <w:kern w:val="0"/>
          <w:sz w:val="36"/>
          <w:szCs w:val="36"/>
        </w:rPr>
        <w:t xml:space="preserve">章 </w:t>
      </w:r>
      <w:r>
        <w:rPr>
          <w:rFonts w:hint="eastAsia" w:ascii="华文中宋" w:hAnsi="华文中宋" w:eastAsia="华文中宋" w:cs="华文中宋"/>
          <w:b/>
          <w:bCs/>
          <w:snapToGrid w:val="0"/>
          <w:color w:val="000000"/>
          <w:kern w:val="0"/>
          <w:sz w:val="36"/>
          <w:szCs w:val="36"/>
        </w:rPr>
        <w:t>竞</w:t>
      </w:r>
      <w:r>
        <w:rPr>
          <w:rFonts w:ascii="华文中宋" w:hAnsi="华文中宋" w:eastAsia="华文中宋" w:cs="华文中宋"/>
          <w:b/>
          <w:bCs/>
          <w:snapToGrid w:val="0"/>
          <w:color w:val="000000"/>
          <w:kern w:val="0"/>
          <w:sz w:val="36"/>
          <w:szCs w:val="36"/>
        </w:rPr>
        <w:t>价响应文件</w:t>
      </w:r>
    </w:p>
    <w:p w14:paraId="64C5709B">
      <w:pPr>
        <w:widowControl/>
        <w:kinsoku w:val="0"/>
        <w:autoSpaceDE w:val="0"/>
        <w:autoSpaceDN w:val="0"/>
        <w:adjustRightInd w:val="0"/>
        <w:snapToGrid w:val="0"/>
        <w:spacing w:before="12" w:line="200" w:lineRule="auto"/>
        <w:ind w:left="2770"/>
        <w:jc w:val="left"/>
        <w:textAlignment w:val="baseline"/>
        <w:rPr>
          <w:rFonts w:ascii="宋体" w:hAnsi="宋体" w:eastAsia="宋体" w:cs="宋体"/>
          <w:sz w:val="30"/>
          <w:szCs w:val="30"/>
        </w:rPr>
      </w:pPr>
    </w:p>
    <w:p w14:paraId="1292212B">
      <w:pPr>
        <w:jc w:val="center"/>
        <w:rPr>
          <w:rFonts w:ascii="宋体" w:hAnsi="宋体" w:eastAsia="宋体" w:cs="宋体"/>
          <w:b/>
          <w:bCs/>
          <w:sz w:val="30"/>
          <w:szCs w:val="30"/>
        </w:rPr>
      </w:pPr>
      <w:r>
        <w:rPr>
          <w:rFonts w:ascii="宋体" w:hAnsi="宋体" w:eastAsia="宋体" w:cs="宋体"/>
          <w:b/>
          <w:bCs/>
          <w:sz w:val="30"/>
          <w:szCs w:val="30"/>
        </w:rPr>
        <w:t>一、报价表格式</w:t>
      </w:r>
    </w:p>
    <w:p w14:paraId="5AC506EA">
      <w:pPr>
        <w:jc w:val="center"/>
        <w:rPr>
          <w:rFonts w:ascii="宋体" w:hAnsi="宋体" w:eastAsia="宋体" w:cs="宋体"/>
          <w:b/>
          <w:bCs/>
          <w:sz w:val="30"/>
          <w:szCs w:val="30"/>
        </w:rPr>
      </w:pPr>
    </w:p>
    <w:p w14:paraId="271F9E63">
      <w:pPr>
        <w:rPr>
          <w:rFonts w:ascii="宋体" w:hAnsi="宋体" w:eastAsia="宋体" w:cs="宋体"/>
          <w:sz w:val="30"/>
          <w:szCs w:val="30"/>
        </w:rPr>
      </w:pPr>
      <w:r>
        <w:rPr>
          <w:rFonts w:ascii="宋体" w:hAnsi="宋体" w:eastAsia="宋体" w:cs="宋体"/>
          <w:sz w:val="30"/>
          <w:szCs w:val="30"/>
        </w:rPr>
        <w:t>项目名称</w:t>
      </w:r>
      <w:r>
        <w:rPr>
          <w:rFonts w:hint="eastAsia" w:ascii="宋体" w:hAnsi="宋体" w:eastAsia="宋体" w:cs="宋体"/>
          <w:sz w:val="30"/>
          <w:szCs w:val="30"/>
        </w:rPr>
        <w:t>：</w:t>
      </w:r>
    </w:p>
    <w:p w14:paraId="3F402D49">
      <w:pPr>
        <w:rPr>
          <w:rFonts w:ascii="宋体" w:hAnsi="宋体" w:eastAsia="宋体" w:cs="宋体"/>
          <w:sz w:val="30"/>
          <w:szCs w:val="30"/>
        </w:rPr>
      </w:pPr>
      <w:r>
        <w:rPr>
          <w:rFonts w:ascii="宋体" w:hAnsi="宋体" w:eastAsia="宋体" w:cs="宋体"/>
          <w:sz w:val="30"/>
          <w:szCs w:val="30"/>
        </w:rPr>
        <w:t>项目编号</w:t>
      </w:r>
      <w:r>
        <w:rPr>
          <w:rFonts w:hint="eastAsia" w:ascii="宋体" w:hAnsi="宋体" w:eastAsia="宋体" w:cs="宋体"/>
          <w:sz w:val="30"/>
          <w:szCs w:val="30"/>
        </w:rPr>
        <w:t>：</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3"/>
        <w:gridCol w:w="6180"/>
      </w:tblGrid>
      <w:tr w14:paraId="4C03D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2693" w:type="dxa"/>
          </w:tcPr>
          <w:p w14:paraId="4C3CC3C5">
            <w:pPr>
              <w:jc w:val="center"/>
              <w:rPr>
                <w:rFonts w:ascii="宋体" w:hAnsi="宋体" w:eastAsia="宋体" w:cs="宋体"/>
                <w:sz w:val="30"/>
                <w:szCs w:val="30"/>
              </w:rPr>
            </w:pPr>
            <w:r>
              <w:rPr>
                <w:rFonts w:hint="eastAsia" w:ascii="宋体" w:hAnsi="宋体" w:eastAsia="宋体" w:cs="宋体"/>
                <w:sz w:val="30"/>
                <w:szCs w:val="30"/>
              </w:rPr>
              <w:t>单位名称</w:t>
            </w:r>
          </w:p>
        </w:tc>
        <w:tc>
          <w:tcPr>
            <w:tcW w:w="6180" w:type="dxa"/>
          </w:tcPr>
          <w:p w14:paraId="1CA14004">
            <w:pPr>
              <w:rPr>
                <w:rFonts w:ascii="宋体" w:hAnsi="宋体" w:eastAsia="宋体" w:cs="宋体"/>
                <w:sz w:val="30"/>
                <w:szCs w:val="30"/>
              </w:rPr>
            </w:pPr>
          </w:p>
        </w:tc>
      </w:tr>
      <w:tr w14:paraId="72AD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8318E1A">
            <w:pPr>
              <w:jc w:val="center"/>
              <w:rPr>
                <w:rFonts w:ascii="宋体" w:hAnsi="宋体" w:eastAsia="宋体" w:cs="宋体"/>
                <w:sz w:val="30"/>
                <w:szCs w:val="30"/>
              </w:rPr>
            </w:pPr>
            <w:r>
              <w:rPr>
                <w:rFonts w:hint="eastAsia" w:ascii="宋体" w:hAnsi="宋体" w:eastAsia="宋体" w:cs="宋体"/>
                <w:sz w:val="30"/>
                <w:szCs w:val="30"/>
              </w:rPr>
              <w:t>报价范围</w:t>
            </w:r>
          </w:p>
        </w:tc>
        <w:tc>
          <w:tcPr>
            <w:tcW w:w="6180" w:type="dxa"/>
          </w:tcPr>
          <w:p w14:paraId="33266232">
            <w:pPr>
              <w:rPr>
                <w:rFonts w:ascii="宋体" w:hAnsi="宋体" w:eastAsia="宋体" w:cs="宋体"/>
                <w:sz w:val="30"/>
                <w:szCs w:val="30"/>
              </w:rPr>
            </w:pPr>
            <w:r>
              <w:rPr>
                <w:rFonts w:hint="eastAsia" w:ascii="宋体" w:hAnsi="宋体" w:eastAsia="宋体" w:cs="宋体"/>
                <w:sz w:val="30"/>
                <w:szCs w:val="30"/>
              </w:rPr>
              <w:t>全部</w:t>
            </w:r>
          </w:p>
        </w:tc>
      </w:tr>
      <w:tr w14:paraId="159D1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51CF08A4">
            <w:pPr>
              <w:jc w:val="center"/>
              <w:rPr>
                <w:rFonts w:ascii="宋体" w:hAnsi="宋体" w:eastAsia="宋体" w:cs="宋体"/>
                <w:sz w:val="30"/>
                <w:szCs w:val="30"/>
              </w:rPr>
            </w:pPr>
            <w:r>
              <w:rPr>
                <w:rFonts w:hint="eastAsia" w:ascii="宋体" w:hAnsi="宋体" w:eastAsia="宋体" w:cs="宋体"/>
                <w:sz w:val="30"/>
                <w:szCs w:val="30"/>
              </w:rPr>
              <w:t>报价</w:t>
            </w:r>
          </w:p>
          <w:p w14:paraId="72A1759F">
            <w:pPr>
              <w:jc w:val="center"/>
              <w:rPr>
                <w:rFonts w:ascii="宋体" w:hAnsi="宋体" w:eastAsia="宋体" w:cs="宋体"/>
                <w:sz w:val="30"/>
                <w:szCs w:val="30"/>
              </w:rPr>
            </w:pPr>
            <w:r>
              <w:rPr>
                <w:rFonts w:hint="eastAsia" w:ascii="宋体" w:hAnsi="宋体" w:eastAsia="宋体" w:cs="宋体"/>
                <w:sz w:val="30"/>
                <w:szCs w:val="30"/>
              </w:rPr>
              <w:t>（详见备注说明）</w:t>
            </w:r>
          </w:p>
        </w:tc>
        <w:tc>
          <w:tcPr>
            <w:tcW w:w="6180" w:type="dxa"/>
          </w:tcPr>
          <w:p w14:paraId="4F09D997">
            <w:pPr>
              <w:rPr>
                <w:rFonts w:ascii="宋体" w:hAnsi="宋体" w:eastAsia="宋体" w:cs="宋体"/>
                <w:sz w:val="30"/>
                <w:szCs w:val="30"/>
              </w:rPr>
            </w:pPr>
            <w:r>
              <w:rPr>
                <w:rFonts w:hint="eastAsia" w:ascii="宋体" w:hAnsi="宋体" w:eastAsia="宋体" w:cs="宋体"/>
                <w:sz w:val="30"/>
                <w:szCs w:val="30"/>
              </w:rPr>
              <w:t>人民币小写：        元</w:t>
            </w:r>
          </w:p>
          <w:p w14:paraId="01D04612">
            <w:pPr>
              <w:rPr>
                <w:rFonts w:ascii="宋体" w:hAnsi="宋体" w:eastAsia="宋体" w:cs="宋体"/>
                <w:sz w:val="30"/>
                <w:szCs w:val="30"/>
              </w:rPr>
            </w:pPr>
            <w:r>
              <w:rPr>
                <w:rFonts w:hint="eastAsia" w:ascii="宋体" w:hAnsi="宋体" w:eastAsia="宋体" w:cs="宋体"/>
                <w:sz w:val="30"/>
                <w:szCs w:val="30"/>
              </w:rPr>
              <w:t>人民币大写：        元</w:t>
            </w:r>
          </w:p>
        </w:tc>
      </w:tr>
      <w:tr w14:paraId="35DB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66DD7B2A">
            <w:pPr>
              <w:jc w:val="center"/>
              <w:rPr>
                <w:rFonts w:ascii="宋体" w:hAnsi="宋体" w:eastAsia="宋体" w:cs="宋体"/>
                <w:sz w:val="30"/>
                <w:szCs w:val="30"/>
              </w:rPr>
            </w:pPr>
            <w:r>
              <w:rPr>
                <w:rFonts w:hint="eastAsia" w:ascii="宋体" w:hAnsi="宋体" w:eastAsia="宋体" w:cs="宋体"/>
                <w:sz w:val="30"/>
                <w:szCs w:val="30"/>
              </w:rPr>
              <w:t>养护标准</w:t>
            </w:r>
          </w:p>
        </w:tc>
        <w:tc>
          <w:tcPr>
            <w:tcW w:w="6180" w:type="dxa"/>
          </w:tcPr>
          <w:p w14:paraId="052A6CEE">
            <w:pPr>
              <w:rPr>
                <w:rFonts w:ascii="宋体" w:hAnsi="宋体" w:eastAsia="宋体" w:cs="宋体"/>
                <w:sz w:val="30"/>
                <w:szCs w:val="30"/>
              </w:rPr>
            </w:pPr>
            <w:r>
              <w:rPr>
                <w:rFonts w:hint="eastAsia" w:ascii="宋体" w:hAnsi="宋体" w:eastAsia="宋体" w:cs="宋体"/>
                <w:sz w:val="30"/>
                <w:szCs w:val="30"/>
              </w:rPr>
              <w:t>二级养护</w:t>
            </w:r>
          </w:p>
        </w:tc>
      </w:tr>
      <w:tr w14:paraId="0F32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AB78923">
            <w:pPr>
              <w:jc w:val="center"/>
              <w:rPr>
                <w:rFonts w:ascii="宋体" w:hAnsi="宋体" w:eastAsia="宋体" w:cs="宋体"/>
                <w:sz w:val="30"/>
                <w:szCs w:val="30"/>
              </w:rPr>
            </w:pPr>
            <w:r>
              <w:rPr>
                <w:rFonts w:hint="eastAsia" w:ascii="宋体" w:hAnsi="宋体" w:eastAsia="宋体" w:cs="宋体"/>
                <w:sz w:val="30"/>
                <w:szCs w:val="30"/>
              </w:rPr>
              <w:t>养护工期</w:t>
            </w:r>
          </w:p>
        </w:tc>
        <w:tc>
          <w:tcPr>
            <w:tcW w:w="6180" w:type="dxa"/>
          </w:tcPr>
          <w:p w14:paraId="0FF0CD56">
            <w:pPr>
              <w:rPr>
                <w:rFonts w:ascii="宋体" w:hAnsi="宋体" w:eastAsia="宋体" w:cs="宋体"/>
                <w:sz w:val="30"/>
                <w:szCs w:val="30"/>
              </w:rPr>
            </w:pPr>
            <w:r>
              <w:rPr>
                <w:rFonts w:hint="eastAsia" w:ascii="宋体" w:hAnsi="宋体" w:eastAsia="宋体" w:cs="宋体"/>
                <w:sz w:val="30"/>
                <w:szCs w:val="30"/>
              </w:rPr>
              <w:t>365日历天</w:t>
            </w:r>
          </w:p>
        </w:tc>
      </w:tr>
      <w:tr w14:paraId="76A7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15A462A7">
            <w:pPr>
              <w:jc w:val="center"/>
              <w:rPr>
                <w:rFonts w:ascii="宋体" w:hAnsi="宋体" w:eastAsia="宋体" w:cs="宋体"/>
                <w:sz w:val="30"/>
                <w:szCs w:val="30"/>
              </w:rPr>
            </w:pPr>
            <w:r>
              <w:rPr>
                <w:rFonts w:hint="eastAsia" w:ascii="宋体" w:hAnsi="宋体" w:eastAsia="宋体" w:cs="宋体"/>
                <w:sz w:val="30"/>
                <w:szCs w:val="30"/>
              </w:rPr>
              <w:t>是否响应付款方式</w:t>
            </w:r>
          </w:p>
        </w:tc>
        <w:tc>
          <w:tcPr>
            <w:tcW w:w="6180" w:type="dxa"/>
          </w:tcPr>
          <w:p w14:paraId="2590FCA3">
            <w:pPr>
              <w:rPr>
                <w:rFonts w:ascii="宋体" w:hAnsi="宋体" w:eastAsia="宋体" w:cs="宋体"/>
                <w:sz w:val="30"/>
                <w:szCs w:val="30"/>
              </w:rPr>
            </w:pPr>
            <w:r>
              <w:rPr>
                <w:rFonts w:ascii="宋体" w:hAnsi="宋体" w:eastAsia="宋体" w:cs="宋体"/>
                <w:sz w:val="30"/>
                <w:szCs w:val="30"/>
              </w:rPr>
              <w:sym w:font="Wingdings 2" w:char="00A3"/>
            </w:r>
            <w:r>
              <w:rPr>
                <w:rFonts w:hint="eastAsia" w:ascii="宋体" w:hAnsi="宋体" w:eastAsia="宋体" w:cs="宋体"/>
                <w:sz w:val="30"/>
                <w:szCs w:val="30"/>
              </w:rPr>
              <w:t xml:space="preserve">是    </w:t>
            </w:r>
            <w:r>
              <w:rPr>
                <w:rFonts w:hint="eastAsia" w:ascii="宋体" w:hAnsi="宋体" w:eastAsia="宋体" w:cs="宋体"/>
                <w:sz w:val="30"/>
                <w:szCs w:val="30"/>
              </w:rPr>
              <w:sym w:font="Wingdings 2" w:char="00A3"/>
            </w:r>
            <w:r>
              <w:rPr>
                <w:rFonts w:hint="eastAsia" w:ascii="宋体" w:hAnsi="宋体" w:eastAsia="宋体" w:cs="宋体"/>
                <w:sz w:val="30"/>
                <w:szCs w:val="30"/>
              </w:rPr>
              <w:t>否</w:t>
            </w:r>
          </w:p>
        </w:tc>
      </w:tr>
      <w:tr w14:paraId="61FB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3" w:type="dxa"/>
          </w:tcPr>
          <w:p w14:paraId="075B8C7B">
            <w:pPr>
              <w:jc w:val="center"/>
              <w:rPr>
                <w:rFonts w:ascii="宋体" w:hAnsi="宋体" w:eastAsia="宋体" w:cs="宋体"/>
                <w:sz w:val="30"/>
                <w:szCs w:val="30"/>
              </w:rPr>
            </w:pPr>
            <w:r>
              <w:rPr>
                <w:rFonts w:hint="eastAsia" w:ascii="宋体" w:hAnsi="宋体" w:eastAsia="宋体" w:cs="宋体"/>
                <w:sz w:val="30"/>
                <w:szCs w:val="30"/>
              </w:rPr>
              <w:t>备注说明</w:t>
            </w:r>
          </w:p>
        </w:tc>
        <w:tc>
          <w:tcPr>
            <w:tcW w:w="6180" w:type="dxa"/>
          </w:tcPr>
          <w:p w14:paraId="551FDEB9">
            <w:pPr>
              <w:rPr>
                <w:rFonts w:ascii="宋体" w:hAnsi="宋体" w:eastAsia="宋体" w:cs="宋体"/>
                <w:sz w:val="30"/>
                <w:szCs w:val="30"/>
              </w:rPr>
            </w:pPr>
            <w:r>
              <w:rPr>
                <w:rFonts w:hint="eastAsia" w:ascii="宋体" w:hAnsi="宋体" w:eastAsia="宋体" w:cs="宋体"/>
                <w:sz w:val="30"/>
                <w:szCs w:val="30"/>
              </w:rPr>
              <w:t>以一年养护服务期进行报价</w:t>
            </w:r>
          </w:p>
        </w:tc>
      </w:tr>
    </w:tbl>
    <w:p w14:paraId="702282C2">
      <w:pPr>
        <w:jc w:val="center"/>
        <w:rPr>
          <w:rFonts w:ascii="宋体" w:hAnsi="宋体" w:eastAsia="宋体" w:cs="宋体"/>
          <w:sz w:val="30"/>
          <w:szCs w:val="30"/>
        </w:rPr>
      </w:pPr>
    </w:p>
    <w:p w14:paraId="67962B02">
      <w:pPr>
        <w:jc w:val="center"/>
        <w:rPr>
          <w:rFonts w:ascii="宋体" w:hAnsi="宋体" w:eastAsia="宋体" w:cs="宋体"/>
          <w:sz w:val="30"/>
          <w:szCs w:val="30"/>
        </w:rPr>
      </w:pPr>
      <w:r>
        <w:rPr>
          <w:rFonts w:hint="eastAsia" w:ascii="宋体" w:hAnsi="宋体" w:eastAsia="宋体" w:cs="宋体"/>
          <w:sz w:val="30"/>
          <w:szCs w:val="30"/>
        </w:rPr>
        <w:t xml:space="preserve">          投标单位</w:t>
      </w:r>
      <w:r>
        <w:rPr>
          <w:rFonts w:ascii="宋体" w:hAnsi="宋体" w:eastAsia="宋体" w:cs="宋体"/>
          <w:sz w:val="30"/>
          <w:szCs w:val="30"/>
        </w:rPr>
        <w:t>签章</w:t>
      </w:r>
      <w:r>
        <w:rPr>
          <w:rFonts w:hint="eastAsia" w:ascii="宋体" w:hAnsi="宋体" w:eastAsia="宋体" w:cs="宋体"/>
          <w:sz w:val="30"/>
          <w:szCs w:val="30"/>
        </w:rPr>
        <w:t>：</w:t>
      </w:r>
    </w:p>
    <w:p w14:paraId="47F9E99F">
      <w:pPr>
        <w:jc w:val="center"/>
        <w:rPr>
          <w:rFonts w:ascii="宋体" w:hAnsi="宋体" w:eastAsia="宋体" w:cs="宋体"/>
          <w:sz w:val="30"/>
          <w:szCs w:val="30"/>
        </w:rPr>
      </w:pPr>
      <w:r>
        <w:rPr>
          <w:rFonts w:hint="eastAsia" w:ascii="宋体" w:hAnsi="宋体" w:eastAsia="宋体" w:cs="宋体"/>
          <w:sz w:val="30"/>
          <w:szCs w:val="30"/>
        </w:rPr>
        <w:t xml:space="preserve">          日        </w:t>
      </w:r>
      <w:r>
        <w:rPr>
          <w:rFonts w:ascii="宋体" w:hAnsi="宋体" w:eastAsia="宋体" w:cs="宋体"/>
          <w:sz w:val="30"/>
          <w:szCs w:val="30"/>
        </w:rPr>
        <w:t>期</w:t>
      </w:r>
      <w:r>
        <w:rPr>
          <w:rFonts w:hint="eastAsia" w:ascii="宋体" w:hAnsi="宋体" w:eastAsia="宋体" w:cs="宋体"/>
          <w:sz w:val="30"/>
          <w:szCs w:val="30"/>
        </w:rPr>
        <w:t>：</w:t>
      </w:r>
    </w:p>
    <w:p w14:paraId="0841FA6E">
      <w:pPr>
        <w:jc w:val="center"/>
        <w:rPr>
          <w:rFonts w:ascii="宋体" w:hAnsi="宋体" w:eastAsia="宋体" w:cs="宋体"/>
          <w:sz w:val="30"/>
          <w:szCs w:val="30"/>
        </w:rPr>
      </w:pPr>
    </w:p>
    <w:p w14:paraId="5B35955C">
      <w:pPr>
        <w:spacing w:line="500" w:lineRule="exact"/>
        <w:rPr>
          <w:rFonts w:ascii="宋体" w:hAnsi="宋体" w:eastAsia="宋体" w:cs="宋体"/>
          <w:sz w:val="30"/>
          <w:szCs w:val="30"/>
        </w:rPr>
      </w:pPr>
      <w:r>
        <w:rPr>
          <w:rFonts w:ascii="宋体" w:hAnsi="宋体" w:eastAsia="宋体" w:cs="宋体"/>
          <w:sz w:val="30"/>
          <w:szCs w:val="30"/>
        </w:rPr>
        <w:t>注</w:t>
      </w:r>
      <w:r>
        <w:rPr>
          <w:rFonts w:hint="eastAsia" w:ascii="宋体" w:hAnsi="宋体" w:eastAsia="宋体" w:cs="宋体"/>
          <w:sz w:val="30"/>
          <w:szCs w:val="30"/>
        </w:rPr>
        <w:t>：</w:t>
      </w:r>
    </w:p>
    <w:p w14:paraId="5753533A">
      <w:pPr>
        <w:spacing w:line="500" w:lineRule="exact"/>
        <w:rPr>
          <w:rFonts w:ascii="宋体" w:hAnsi="宋体" w:eastAsia="宋体" w:cs="宋体"/>
          <w:sz w:val="30"/>
          <w:szCs w:val="30"/>
        </w:rPr>
      </w:pPr>
      <w:r>
        <w:rPr>
          <w:rFonts w:ascii="宋体" w:hAnsi="宋体" w:eastAsia="宋体" w:cs="宋体"/>
          <w:sz w:val="30"/>
          <w:szCs w:val="30"/>
        </w:rPr>
        <w:t>1.本表内容包括了</w:t>
      </w:r>
      <w:r>
        <w:rPr>
          <w:rFonts w:hint="eastAsia" w:ascii="宋体" w:hAnsi="宋体" w:eastAsia="宋体" w:cs="宋体"/>
          <w:sz w:val="30"/>
          <w:szCs w:val="30"/>
        </w:rPr>
        <w:t>竞</w:t>
      </w:r>
      <w:r>
        <w:rPr>
          <w:rFonts w:ascii="宋体" w:hAnsi="宋体" w:eastAsia="宋体" w:cs="宋体"/>
          <w:sz w:val="30"/>
          <w:szCs w:val="30"/>
        </w:rPr>
        <w:t>价文件要求提供的全部内容的所有费用。</w:t>
      </w:r>
    </w:p>
    <w:p w14:paraId="59A18B12">
      <w:pPr>
        <w:spacing w:line="500" w:lineRule="exact"/>
        <w:rPr>
          <w:rFonts w:ascii="宋体" w:hAnsi="宋体" w:eastAsia="宋体" w:cs="宋体"/>
          <w:sz w:val="30"/>
          <w:szCs w:val="30"/>
        </w:rPr>
      </w:pPr>
      <w:r>
        <w:rPr>
          <w:rFonts w:ascii="宋体" w:hAnsi="宋体" w:eastAsia="宋体" w:cs="宋体"/>
          <w:sz w:val="30"/>
          <w:szCs w:val="30"/>
        </w:rPr>
        <w:t>2.特殊事项在备注中注明。</w:t>
      </w:r>
    </w:p>
    <w:p w14:paraId="51C93DD1">
      <w:pPr>
        <w:spacing w:line="500" w:lineRule="exact"/>
        <w:rPr>
          <w:rFonts w:ascii="宋体" w:hAnsi="宋体" w:eastAsia="宋体" w:cs="宋体"/>
          <w:sz w:val="30"/>
          <w:szCs w:val="30"/>
        </w:rPr>
      </w:pPr>
      <w:r>
        <w:rPr>
          <w:rFonts w:ascii="宋体" w:hAnsi="宋体" w:eastAsia="宋体" w:cs="宋体"/>
          <w:sz w:val="30"/>
          <w:szCs w:val="30"/>
        </w:rPr>
        <w:t>3.报价表中大写金额与小写金额不一致的，以大写金额为准。</w:t>
      </w:r>
    </w:p>
    <w:p w14:paraId="206A1717">
      <w:pPr>
        <w:rPr>
          <w:rFonts w:ascii="宋体" w:hAnsi="宋体" w:eastAsia="宋体" w:cs="宋体"/>
          <w:sz w:val="30"/>
          <w:szCs w:val="30"/>
        </w:rPr>
      </w:pPr>
    </w:p>
    <w:p w14:paraId="17249AD0">
      <w:pPr>
        <w:numPr>
          <w:ilvl w:val="0"/>
          <w:numId w:val="1"/>
        </w:numPr>
        <w:jc w:val="center"/>
        <w:rPr>
          <w:rFonts w:ascii="宋体" w:hAnsi="宋体" w:eastAsia="宋体" w:cs="宋体"/>
          <w:b/>
          <w:bCs/>
          <w:sz w:val="30"/>
          <w:szCs w:val="30"/>
        </w:rPr>
      </w:pPr>
      <w:r>
        <w:rPr>
          <w:rFonts w:ascii="宋体" w:hAnsi="宋体" w:eastAsia="宋体" w:cs="宋体"/>
          <w:b/>
          <w:bCs/>
          <w:sz w:val="30"/>
          <w:szCs w:val="30"/>
        </w:rPr>
        <w:t>资格证明资料</w:t>
      </w:r>
    </w:p>
    <w:p w14:paraId="462409E9">
      <w:pPr>
        <w:jc w:val="center"/>
        <w:rPr>
          <w:rFonts w:ascii="宋体" w:hAnsi="宋体" w:eastAsia="宋体" w:cs="宋体"/>
          <w:b/>
          <w:bCs/>
          <w:sz w:val="30"/>
          <w:szCs w:val="30"/>
        </w:rPr>
      </w:pPr>
    </w:p>
    <w:p w14:paraId="19D34242">
      <w:pPr>
        <w:jc w:val="center"/>
        <w:rPr>
          <w:rFonts w:ascii="宋体" w:hAnsi="宋体" w:eastAsia="宋体" w:cs="宋体"/>
          <w:sz w:val="30"/>
          <w:szCs w:val="30"/>
        </w:rPr>
      </w:pPr>
      <w:r>
        <w:rPr>
          <w:rFonts w:ascii="宋体" w:hAnsi="宋体" w:eastAsia="宋体" w:cs="宋体"/>
          <w:sz w:val="30"/>
          <w:szCs w:val="30"/>
        </w:rPr>
        <w:t>(</w:t>
      </w:r>
      <w:r>
        <w:rPr>
          <w:rFonts w:hint="eastAsia" w:ascii="宋体" w:hAnsi="宋体" w:eastAsia="宋体" w:cs="宋体"/>
          <w:sz w:val="30"/>
          <w:szCs w:val="30"/>
        </w:rPr>
        <w:t>投标单位</w:t>
      </w:r>
      <w:r>
        <w:rPr>
          <w:rFonts w:ascii="宋体" w:hAnsi="宋体" w:eastAsia="宋体" w:cs="宋体"/>
          <w:sz w:val="30"/>
          <w:szCs w:val="30"/>
        </w:rPr>
        <w:t>可自行制作格式)</w:t>
      </w:r>
    </w:p>
    <w:p w14:paraId="3764E87E">
      <w:pPr>
        <w:ind w:firstLine="600" w:firstLineChars="200"/>
        <w:rPr>
          <w:rFonts w:ascii="宋体" w:hAnsi="宋体" w:eastAsia="宋体" w:cs="宋体"/>
          <w:sz w:val="30"/>
          <w:szCs w:val="30"/>
        </w:rPr>
      </w:pPr>
      <w:r>
        <w:rPr>
          <w:rFonts w:hint="eastAsia" w:ascii="宋体" w:hAnsi="宋体" w:eastAsia="宋体" w:cs="宋体"/>
          <w:sz w:val="30"/>
          <w:szCs w:val="30"/>
        </w:rPr>
        <w:t>投标单位</w:t>
      </w:r>
      <w:r>
        <w:rPr>
          <w:rFonts w:ascii="宋体" w:hAnsi="宋体" w:eastAsia="宋体" w:cs="宋体"/>
          <w:sz w:val="30"/>
          <w:szCs w:val="30"/>
        </w:rPr>
        <w:t>应根据</w:t>
      </w:r>
      <w:r>
        <w:rPr>
          <w:rFonts w:hint="eastAsia" w:ascii="宋体" w:hAnsi="宋体" w:eastAsia="宋体" w:cs="宋体"/>
          <w:sz w:val="30"/>
          <w:szCs w:val="30"/>
        </w:rPr>
        <w:t>竞</w:t>
      </w:r>
      <w:r>
        <w:rPr>
          <w:rFonts w:ascii="宋体" w:hAnsi="宋体" w:eastAsia="宋体" w:cs="宋体"/>
          <w:sz w:val="30"/>
          <w:szCs w:val="30"/>
        </w:rPr>
        <w:t>价公告中的“</w:t>
      </w:r>
      <w:r>
        <w:rPr>
          <w:rFonts w:hint="eastAsia" w:ascii="宋体" w:hAnsi="宋体" w:eastAsia="宋体" w:cs="宋体"/>
          <w:sz w:val="30"/>
          <w:szCs w:val="30"/>
        </w:rPr>
        <w:t>投标单位</w:t>
      </w:r>
      <w:r>
        <w:rPr>
          <w:rFonts w:ascii="宋体" w:hAnsi="宋体" w:eastAsia="宋体" w:cs="宋体"/>
          <w:sz w:val="30"/>
          <w:szCs w:val="30"/>
        </w:rPr>
        <w:t>资格要求”提供相关证明材料，包括但不限于资质证明材料、财务证明材料、业绩证明材料、信誉证明材料</w:t>
      </w:r>
      <w:r>
        <w:rPr>
          <w:rFonts w:hint="eastAsia" w:ascii="宋体" w:hAnsi="宋体" w:eastAsia="宋体" w:cs="宋体"/>
          <w:sz w:val="30"/>
          <w:szCs w:val="30"/>
        </w:rPr>
        <w:t>等</w:t>
      </w:r>
      <w:r>
        <w:rPr>
          <w:rFonts w:ascii="宋体" w:hAnsi="宋体" w:eastAsia="宋体" w:cs="宋体"/>
          <w:sz w:val="30"/>
          <w:szCs w:val="30"/>
        </w:rPr>
        <w:t>。证明材料一般使用复印件或影印件</w:t>
      </w:r>
      <w:r>
        <w:rPr>
          <w:rFonts w:hint="eastAsia" w:ascii="宋体" w:hAnsi="宋体" w:eastAsia="宋体" w:cs="宋体"/>
          <w:sz w:val="30"/>
          <w:szCs w:val="30"/>
        </w:rPr>
        <w:t>。</w:t>
      </w:r>
    </w:p>
    <w:p w14:paraId="32D38784">
      <w:pPr>
        <w:rPr>
          <w:rFonts w:ascii="宋体" w:hAnsi="宋体" w:eastAsia="宋体" w:cs="宋体"/>
          <w:sz w:val="30"/>
          <w:szCs w:val="30"/>
        </w:rPr>
      </w:pPr>
    </w:p>
    <w:p w14:paraId="1ECB0FD5">
      <w:pPr>
        <w:rPr>
          <w:rFonts w:ascii="宋体" w:hAnsi="宋体" w:eastAsia="宋体" w:cs="宋体"/>
          <w:b/>
          <w:bCs/>
          <w:sz w:val="30"/>
          <w:szCs w:val="30"/>
        </w:rPr>
      </w:pPr>
    </w:p>
    <w:p w14:paraId="2E9D1530">
      <w:pPr>
        <w:jc w:val="center"/>
        <w:rPr>
          <w:rFonts w:ascii="宋体" w:hAnsi="宋体" w:eastAsia="宋体" w:cs="宋体"/>
          <w:b/>
          <w:bCs/>
          <w:sz w:val="30"/>
          <w:szCs w:val="30"/>
        </w:rPr>
      </w:pPr>
    </w:p>
    <w:p w14:paraId="3F76243C">
      <w:pPr>
        <w:jc w:val="center"/>
        <w:rPr>
          <w:rFonts w:ascii="宋体" w:hAnsi="宋体" w:eastAsia="宋体" w:cs="宋体"/>
          <w:b/>
          <w:bCs/>
          <w:sz w:val="30"/>
          <w:szCs w:val="30"/>
        </w:rPr>
      </w:pPr>
    </w:p>
    <w:p w14:paraId="3FC8F29E">
      <w:pPr>
        <w:jc w:val="center"/>
        <w:rPr>
          <w:rFonts w:ascii="宋体" w:hAnsi="宋体" w:eastAsia="宋体" w:cs="宋体"/>
          <w:b/>
          <w:bCs/>
          <w:sz w:val="30"/>
          <w:szCs w:val="30"/>
        </w:rPr>
      </w:pPr>
    </w:p>
    <w:p w14:paraId="397F9778">
      <w:pPr>
        <w:jc w:val="center"/>
        <w:rPr>
          <w:rFonts w:ascii="宋体" w:hAnsi="宋体" w:eastAsia="宋体" w:cs="宋体"/>
          <w:b/>
          <w:bCs/>
          <w:sz w:val="30"/>
          <w:szCs w:val="30"/>
        </w:rPr>
      </w:pPr>
    </w:p>
    <w:p w14:paraId="7A36AE15">
      <w:pPr>
        <w:jc w:val="center"/>
        <w:rPr>
          <w:rFonts w:ascii="宋体" w:hAnsi="宋体" w:eastAsia="宋体" w:cs="宋体"/>
          <w:b/>
          <w:bCs/>
          <w:sz w:val="30"/>
          <w:szCs w:val="30"/>
        </w:rPr>
      </w:pPr>
    </w:p>
    <w:p w14:paraId="37F4DBBF">
      <w:pPr>
        <w:jc w:val="center"/>
        <w:rPr>
          <w:rFonts w:ascii="宋体" w:hAnsi="宋体" w:eastAsia="宋体" w:cs="宋体"/>
          <w:b/>
          <w:bCs/>
          <w:sz w:val="30"/>
          <w:szCs w:val="30"/>
        </w:rPr>
      </w:pPr>
    </w:p>
    <w:p w14:paraId="51BA9E53">
      <w:pPr>
        <w:jc w:val="center"/>
        <w:rPr>
          <w:rFonts w:ascii="宋体" w:hAnsi="宋体" w:eastAsia="宋体" w:cs="宋体"/>
          <w:b/>
          <w:bCs/>
          <w:sz w:val="30"/>
          <w:szCs w:val="30"/>
        </w:rPr>
      </w:pPr>
    </w:p>
    <w:p w14:paraId="39FA652A">
      <w:pPr>
        <w:jc w:val="center"/>
        <w:rPr>
          <w:rFonts w:ascii="宋体" w:hAnsi="宋体" w:eastAsia="宋体" w:cs="宋体"/>
          <w:b/>
          <w:bCs/>
          <w:sz w:val="30"/>
          <w:szCs w:val="30"/>
        </w:rPr>
      </w:pPr>
    </w:p>
    <w:p w14:paraId="64DE30F2">
      <w:pPr>
        <w:jc w:val="center"/>
        <w:rPr>
          <w:rFonts w:ascii="宋体" w:hAnsi="宋体" w:eastAsia="宋体" w:cs="宋体"/>
          <w:b/>
          <w:bCs/>
          <w:sz w:val="30"/>
          <w:szCs w:val="30"/>
        </w:rPr>
      </w:pPr>
    </w:p>
    <w:p w14:paraId="45A05ED3">
      <w:pPr>
        <w:jc w:val="center"/>
        <w:rPr>
          <w:rFonts w:ascii="宋体" w:hAnsi="宋体" w:eastAsia="宋体" w:cs="宋体"/>
          <w:b/>
          <w:bCs/>
          <w:sz w:val="30"/>
          <w:szCs w:val="30"/>
        </w:rPr>
      </w:pPr>
    </w:p>
    <w:p w14:paraId="758DF989">
      <w:pPr>
        <w:jc w:val="center"/>
        <w:rPr>
          <w:rFonts w:ascii="宋体" w:hAnsi="宋体" w:eastAsia="宋体" w:cs="宋体"/>
          <w:b/>
          <w:bCs/>
          <w:sz w:val="30"/>
          <w:szCs w:val="30"/>
        </w:rPr>
      </w:pPr>
    </w:p>
    <w:p w14:paraId="1507CC92">
      <w:pPr>
        <w:jc w:val="center"/>
        <w:rPr>
          <w:rFonts w:ascii="宋体" w:hAnsi="宋体" w:eastAsia="宋体" w:cs="宋体"/>
          <w:b/>
          <w:bCs/>
          <w:sz w:val="30"/>
          <w:szCs w:val="30"/>
        </w:rPr>
      </w:pPr>
    </w:p>
    <w:p w14:paraId="0E5DDA7E">
      <w:pPr>
        <w:jc w:val="center"/>
        <w:rPr>
          <w:rFonts w:ascii="宋体" w:hAnsi="宋体" w:eastAsia="宋体" w:cs="宋体"/>
          <w:b/>
          <w:bCs/>
          <w:sz w:val="30"/>
          <w:szCs w:val="30"/>
        </w:rPr>
      </w:pPr>
    </w:p>
    <w:p w14:paraId="75699396">
      <w:pPr>
        <w:jc w:val="center"/>
        <w:rPr>
          <w:rFonts w:ascii="宋体" w:hAnsi="宋体" w:eastAsia="宋体" w:cs="宋体"/>
          <w:b/>
          <w:bCs/>
          <w:sz w:val="30"/>
          <w:szCs w:val="30"/>
        </w:rPr>
      </w:pPr>
    </w:p>
    <w:p w14:paraId="0CBFBBB5">
      <w:pPr>
        <w:jc w:val="center"/>
        <w:rPr>
          <w:rFonts w:ascii="宋体" w:hAnsi="宋体" w:eastAsia="宋体" w:cs="宋体"/>
          <w:b/>
          <w:bCs/>
          <w:sz w:val="30"/>
          <w:szCs w:val="30"/>
        </w:rPr>
      </w:pPr>
      <w:r>
        <w:rPr>
          <w:rFonts w:hint="eastAsia" w:ascii="宋体" w:hAnsi="宋体" w:eastAsia="宋体" w:cs="宋体"/>
          <w:b/>
          <w:bCs/>
          <w:sz w:val="30"/>
          <w:szCs w:val="30"/>
        </w:rPr>
        <w:t>三</w:t>
      </w:r>
      <w:r>
        <w:rPr>
          <w:rFonts w:ascii="宋体" w:hAnsi="宋体" w:eastAsia="宋体" w:cs="宋体"/>
          <w:b/>
          <w:bCs/>
          <w:sz w:val="30"/>
          <w:szCs w:val="30"/>
        </w:rPr>
        <w:t>、</w:t>
      </w:r>
      <w:r>
        <w:rPr>
          <w:rFonts w:hint="eastAsia" w:ascii="宋体" w:hAnsi="宋体" w:eastAsia="宋体" w:cs="宋体"/>
          <w:b/>
          <w:bCs/>
          <w:sz w:val="30"/>
          <w:szCs w:val="30"/>
        </w:rPr>
        <w:t>竞</w:t>
      </w:r>
      <w:r>
        <w:rPr>
          <w:rFonts w:ascii="宋体" w:hAnsi="宋体" w:eastAsia="宋体" w:cs="宋体"/>
          <w:b/>
          <w:bCs/>
          <w:sz w:val="30"/>
          <w:szCs w:val="30"/>
        </w:rPr>
        <w:t>价响应函</w:t>
      </w:r>
    </w:p>
    <w:p w14:paraId="2A973397">
      <w:pPr>
        <w:jc w:val="center"/>
        <w:rPr>
          <w:rFonts w:ascii="宋体" w:hAnsi="宋体" w:eastAsia="宋体" w:cs="宋体"/>
          <w:b/>
          <w:bCs/>
          <w:sz w:val="30"/>
          <w:szCs w:val="30"/>
        </w:rPr>
      </w:pPr>
    </w:p>
    <w:p w14:paraId="303B5DEE">
      <w:pPr>
        <w:rPr>
          <w:rFonts w:ascii="宋体" w:hAnsi="宋体" w:eastAsia="宋体" w:cs="宋体"/>
          <w:sz w:val="30"/>
          <w:szCs w:val="30"/>
        </w:rPr>
      </w:pPr>
      <w:r>
        <w:rPr>
          <w:rFonts w:ascii="宋体" w:hAnsi="宋体" w:eastAsia="宋体" w:cs="宋体"/>
          <w:sz w:val="30"/>
          <w:szCs w:val="30"/>
        </w:rPr>
        <w:t>致</w:t>
      </w:r>
      <w:r>
        <w:rPr>
          <w:rFonts w:hint="eastAsia" w:ascii="宋体" w:hAnsi="宋体" w:eastAsia="宋体" w:cs="宋体"/>
          <w:sz w:val="30"/>
          <w:szCs w:val="30"/>
        </w:rPr>
        <w:t>：</w:t>
      </w:r>
      <w:r>
        <w:rPr>
          <w:rFonts w:ascii="宋体" w:hAnsi="宋体" w:eastAsia="宋体" w:cs="宋体"/>
          <w:sz w:val="30"/>
          <w:szCs w:val="30"/>
          <w:u w:val="single"/>
        </w:rPr>
        <w:t>某采购单位</w:t>
      </w:r>
    </w:p>
    <w:p w14:paraId="6D5A6F34">
      <w:pPr>
        <w:ind w:firstLine="600" w:firstLineChars="200"/>
        <w:rPr>
          <w:rFonts w:ascii="宋体" w:hAnsi="宋体" w:eastAsia="宋体" w:cs="宋体"/>
          <w:sz w:val="30"/>
          <w:szCs w:val="30"/>
          <w:u w:val="single"/>
        </w:rPr>
      </w:pPr>
      <w:r>
        <w:rPr>
          <w:rFonts w:ascii="宋体" w:hAnsi="宋体" w:eastAsia="宋体" w:cs="宋体"/>
          <w:sz w:val="30"/>
          <w:szCs w:val="30"/>
          <w:u w:val="single"/>
        </w:rPr>
        <w:t>某代理机构</w:t>
      </w:r>
    </w:p>
    <w:p w14:paraId="4D5D3372">
      <w:pPr>
        <w:ind w:firstLine="600" w:firstLineChars="200"/>
        <w:rPr>
          <w:rFonts w:ascii="宋体" w:hAnsi="宋体" w:eastAsia="宋体" w:cs="宋体"/>
          <w:sz w:val="30"/>
          <w:szCs w:val="30"/>
        </w:rPr>
      </w:pPr>
      <w:r>
        <w:rPr>
          <w:rFonts w:ascii="宋体" w:hAnsi="宋体" w:eastAsia="宋体" w:cs="宋体"/>
          <w:sz w:val="30"/>
          <w:szCs w:val="30"/>
        </w:rPr>
        <w:t>根据贵方的</w:t>
      </w:r>
      <w:r>
        <w:rPr>
          <w:rFonts w:hint="eastAsia" w:ascii="宋体" w:hAnsi="宋体" w:eastAsia="宋体" w:cs="宋体"/>
          <w:sz w:val="30"/>
          <w:szCs w:val="30"/>
        </w:rPr>
        <w:t>竞</w:t>
      </w:r>
      <w:r>
        <w:rPr>
          <w:rFonts w:ascii="宋体" w:hAnsi="宋体" w:eastAsia="宋体" w:cs="宋体"/>
          <w:sz w:val="30"/>
          <w:szCs w:val="30"/>
        </w:rPr>
        <w:t>价公告，我方兹宣布同意如下</w:t>
      </w:r>
      <w:r>
        <w:rPr>
          <w:rFonts w:hint="eastAsia" w:ascii="宋体" w:hAnsi="宋体" w:eastAsia="宋体" w:cs="宋体"/>
          <w:sz w:val="30"/>
          <w:szCs w:val="30"/>
        </w:rPr>
        <w:t>：</w:t>
      </w:r>
    </w:p>
    <w:p w14:paraId="360CF445">
      <w:pPr>
        <w:rPr>
          <w:rFonts w:ascii="宋体" w:hAnsi="宋体" w:eastAsia="宋体" w:cs="宋体"/>
          <w:sz w:val="30"/>
          <w:szCs w:val="30"/>
        </w:rPr>
      </w:pPr>
      <w:r>
        <w:rPr>
          <w:rFonts w:hint="eastAsia" w:ascii="宋体" w:hAnsi="宋体" w:eastAsia="宋体" w:cs="宋体"/>
          <w:sz w:val="30"/>
          <w:szCs w:val="30"/>
        </w:rPr>
        <w:t>1、</w:t>
      </w:r>
      <w:r>
        <w:rPr>
          <w:rFonts w:ascii="宋体" w:hAnsi="宋体" w:eastAsia="宋体" w:cs="宋体"/>
          <w:sz w:val="30"/>
          <w:szCs w:val="30"/>
        </w:rPr>
        <w:t>经踏勘项目现场和研究上述</w:t>
      </w:r>
      <w:r>
        <w:rPr>
          <w:rFonts w:hint="eastAsia" w:ascii="宋体" w:hAnsi="宋体" w:eastAsia="宋体" w:cs="宋体"/>
          <w:sz w:val="30"/>
          <w:szCs w:val="30"/>
        </w:rPr>
        <w:t>竞</w:t>
      </w:r>
      <w:r>
        <w:rPr>
          <w:rFonts w:ascii="宋体" w:hAnsi="宋体" w:eastAsia="宋体" w:cs="宋体"/>
          <w:sz w:val="30"/>
          <w:szCs w:val="30"/>
        </w:rPr>
        <w:t>价文件的</w:t>
      </w:r>
      <w:r>
        <w:rPr>
          <w:rFonts w:hint="eastAsia" w:ascii="宋体" w:hAnsi="宋体" w:eastAsia="宋体" w:cs="宋体"/>
          <w:sz w:val="30"/>
          <w:szCs w:val="30"/>
        </w:rPr>
        <w:t>竞</w:t>
      </w:r>
      <w:r>
        <w:rPr>
          <w:rFonts w:ascii="宋体" w:hAnsi="宋体" w:eastAsia="宋体" w:cs="宋体"/>
          <w:sz w:val="30"/>
          <w:szCs w:val="30"/>
        </w:rPr>
        <w:t>价须知，我方接受上述文件要求，最高投标限价(控制价)无异议。</w:t>
      </w:r>
    </w:p>
    <w:p w14:paraId="556B427F">
      <w:pPr>
        <w:rPr>
          <w:rFonts w:ascii="宋体" w:hAnsi="宋体" w:eastAsia="宋体" w:cs="宋体"/>
          <w:sz w:val="30"/>
          <w:szCs w:val="30"/>
        </w:rPr>
      </w:pPr>
      <w:r>
        <w:rPr>
          <w:rFonts w:ascii="宋体" w:hAnsi="宋体" w:eastAsia="宋体" w:cs="宋体"/>
          <w:sz w:val="30"/>
          <w:szCs w:val="30"/>
        </w:rPr>
        <w:t>2.我方已详细审核并确认全部</w:t>
      </w:r>
      <w:r>
        <w:rPr>
          <w:rFonts w:hint="eastAsia" w:ascii="宋体" w:hAnsi="宋体" w:eastAsia="宋体" w:cs="宋体"/>
          <w:sz w:val="30"/>
          <w:szCs w:val="30"/>
        </w:rPr>
        <w:t>竞</w:t>
      </w:r>
      <w:r>
        <w:rPr>
          <w:rFonts w:ascii="宋体" w:hAnsi="宋体" w:eastAsia="宋体" w:cs="宋体"/>
          <w:sz w:val="30"/>
          <w:szCs w:val="30"/>
        </w:rPr>
        <w:t>价文件及有关附件，充分理解</w:t>
      </w:r>
      <w:r>
        <w:rPr>
          <w:rFonts w:hint="eastAsia" w:ascii="宋体" w:hAnsi="宋体" w:eastAsia="宋体" w:cs="宋体"/>
          <w:sz w:val="30"/>
          <w:szCs w:val="30"/>
        </w:rPr>
        <w:t>竞</w:t>
      </w:r>
      <w:r>
        <w:rPr>
          <w:rFonts w:ascii="宋体" w:hAnsi="宋体" w:eastAsia="宋体" w:cs="宋体"/>
          <w:sz w:val="30"/>
          <w:szCs w:val="30"/>
        </w:rPr>
        <w:t>价格不得低于企业个别成本有关规定。我方经成本核算，所填报的竟价报价不低于企业个别成本。</w:t>
      </w:r>
    </w:p>
    <w:p w14:paraId="457354E5">
      <w:pPr>
        <w:rPr>
          <w:rFonts w:ascii="宋体" w:hAnsi="宋体" w:eastAsia="宋体" w:cs="宋体"/>
          <w:sz w:val="30"/>
          <w:szCs w:val="30"/>
        </w:rPr>
      </w:pPr>
      <w:r>
        <w:rPr>
          <w:rFonts w:ascii="宋体" w:hAnsi="宋体" w:eastAsia="宋体" w:cs="宋体"/>
          <w:sz w:val="30"/>
          <w:szCs w:val="30"/>
        </w:rPr>
        <w:t>3.一旦我方成交，我方保证按</w:t>
      </w:r>
      <w:r>
        <w:rPr>
          <w:rFonts w:hint="eastAsia" w:ascii="宋体" w:hAnsi="宋体" w:eastAsia="宋体" w:cs="宋体"/>
          <w:sz w:val="30"/>
          <w:szCs w:val="30"/>
        </w:rPr>
        <w:t>竞</w:t>
      </w:r>
      <w:r>
        <w:rPr>
          <w:rFonts w:ascii="宋体" w:hAnsi="宋体" w:eastAsia="宋体" w:cs="宋体"/>
          <w:sz w:val="30"/>
          <w:szCs w:val="30"/>
        </w:rPr>
        <w:t>价文件约定的</w:t>
      </w:r>
      <w:r>
        <w:rPr>
          <w:rFonts w:hint="eastAsia" w:ascii="宋体" w:hAnsi="宋体" w:eastAsia="宋体" w:cs="宋体"/>
          <w:sz w:val="30"/>
          <w:szCs w:val="30"/>
        </w:rPr>
        <w:t>养护标准完成养护工作。</w:t>
      </w:r>
    </w:p>
    <w:p w14:paraId="6C6F8E29">
      <w:pPr>
        <w:rPr>
          <w:rFonts w:ascii="宋体" w:hAnsi="宋体" w:eastAsia="宋体" w:cs="宋体"/>
          <w:sz w:val="30"/>
          <w:szCs w:val="30"/>
        </w:rPr>
      </w:pPr>
      <w:r>
        <w:rPr>
          <w:rFonts w:hint="eastAsia" w:ascii="宋体" w:hAnsi="宋体" w:eastAsia="宋体" w:cs="宋体"/>
          <w:sz w:val="30"/>
          <w:szCs w:val="30"/>
        </w:rPr>
        <w:t>4.</w:t>
      </w:r>
      <w:r>
        <w:rPr>
          <w:rFonts w:ascii="宋体" w:hAnsi="宋体" w:eastAsia="宋体" w:cs="宋体"/>
          <w:sz w:val="30"/>
          <w:szCs w:val="30"/>
        </w:rPr>
        <w:t>一旦我方成交，我方保证</w:t>
      </w:r>
      <w:r>
        <w:rPr>
          <w:rFonts w:hint="eastAsia" w:ascii="宋体" w:hAnsi="宋体" w:eastAsia="宋体" w:cs="宋体"/>
          <w:sz w:val="30"/>
          <w:szCs w:val="30"/>
        </w:rPr>
        <w:t>竞</w:t>
      </w:r>
      <w:r>
        <w:rPr>
          <w:rFonts w:ascii="宋体" w:hAnsi="宋体" w:eastAsia="宋体" w:cs="宋体"/>
          <w:sz w:val="30"/>
          <w:szCs w:val="30"/>
        </w:rPr>
        <w:t>价文件中承诺的项目管理</w:t>
      </w:r>
      <w:r>
        <w:rPr>
          <w:rFonts w:hint="eastAsia" w:ascii="宋体" w:hAnsi="宋体" w:eastAsia="宋体" w:cs="宋体"/>
          <w:sz w:val="30"/>
          <w:szCs w:val="30"/>
        </w:rPr>
        <w:t>及养护</w:t>
      </w:r>
      <w:r>
        <w:rPr>
          <w:rFonts w:ascii="宋体" w:hAnsi="宋体" w:eastAsia="宋体" w:cs="宋体"/>
          <w:sz w:val="30"/>
          <w:szCs w:val="30"/>
        </w:rPr>
        <w:t>机械设备到位</w:t>
      </w:r>
      <w:r>
        <w:rPr>
          <w:rFonts w:hint="eastAsia" w:ascii="宋体" w:hAnsi="宋体" w:eastAsia="宋体" w:cs="宋体"/>
          <w:sz w:val="30"/>
          <w:szCs w:val="30"/>
        </w:rPr>
        <w:t>。</w:t>
      </w:r>
    </w:p>
    <w:p w14:paraId="3D657CE9">
      <w:pPr>
        <w:rPr>
          <w:rFonts w:ascii="宋体" w:hAnsi="宋体" w:eastAsia="宋体" w:cs="宋体"/>
          <w:sz w:val="30"/>
          <w:szCs w:val="30"/>
        </w:rPr>
      </w:pPr>
      <w:r>
        <w:rPr>
          <w:rFonts w:hint="eastAsia" w:ascii="宋体" w:hAnsi="宋体" w:eastAsia="宋体" w:cs="宋体"/>
          <w:sz w:val="30"/>
          <w:szCs w:val="30"/>
        </w:rPr>
        <w:t>5</w:t>
      </w:r>
      <w:r>
        <w:rPr>
          <w:rFonts w:ascii="宋体" w:hAnsi="宋体" w:eastAsia="宋体" w:cs="宋体"/>
          <w:sz w:val="30"/>
          <w:szCs w:val="30"/>
        </w:rPr>
        <w:t>.一旦我方成交，我方保证在规定的时间内按</w:t>
      </w:r>
      <w:r>
        <w:rPr>
          <w:rFonts w:hint="eastAsia" w:ascii="宋体" w:hAnsi="宋体" w:eastAsia="宋体" w:cs="宋体"/>
          <w:sz w:val="30"/>
          <w:szCs w:val="30"/>
        </w:rPr>
        <w:t>竞</w:t>
      </w:r>
      <w:r>
        <w:rPr>
          <w:rFonts w:ascii="宋体" w:hAnsi="宋体" w:eastAsia="宋体" w:cs="宋体"/>
          <w:sz w:val="30"/>
          <w:szCs w:val="30"/>
        </w:rPr>
        <w:t>价文件规定的方式、金额向</w:t>
      </w:r>
      <w:r>
        <w:rPr>
          <w:rFonts w:hint="eastAsia" w:ascii="宋体" w:hAnsi="宋体" w:eastAsia="宋体" w:cs="宋体"/>
          <w:sz w:val="30"/>
          <w:szCs w:val="30"/>
        </w:rPr>
        <w:t>招标单位</w:t>
      </w:r>
      <w:r>
        <w:rPr>
          <w:rFonts w:ascii="宋体" w:hAnsi="宋体" w:eastAsia="宋体" w:cs="宋体"/>
          <w:sz w:val="30"/>
          <w:szCs w:val="30"/>
        </w:rPr>
        <w:t>提交履约担保。</w:t>
      </w:r>
    </w:p>
    <w:p w14:paraId="1F75F00F">
      <w:pPr>
        <w:rPr>
          <w:rFonts w:ascii="宋体" w:hAnsi="宋体" w:eastAsia="宋体" w:cs="宋体"/>
          <w:sz w:val="30"/>
          <w:szCs w:val="30"/>
        </w:rPr>
      </w:pPr>
      <w:r>
        <w:rPr>
          <w:rFonts w:hint="eastAsia" w:ascii="宋体" w:hAnsi="宋体" w:eastAsia="宋体" w:cs="宋体"/>
          <w:sz w:val="30"/>
          <w:szCs w:val="30"/>
        </w:rPr>
        <w:t>6</w:t>
      </w:r>
      <w:r>
        <w:rPr>
          <w:rFonts w:ascii="宋体" w:hAnsi="宋体" w:eastAsia="宋体" w:cs="宋体"/>
          <w:sz w:val="30"/>
          <w:szCs w:val="30"/>
        </w:rPr>
        <w:t>.我方同意所提交的</w:t>
      </w:r>
      <w:r>
        <w:rPr>
          <w:rFonts w:hint="eastAsia" w:ascii="宋体" w:hAnsi="宋体" w:eastAsia="宋体" w:cs="宋体"/>
          <w:sz w:val="30"/>
          <w:szCs w:val="30"/>
        </w:rPr>
        <w:t>竞</w:t>
      </w:r>
      <w:r>
        <w:rPr>
          <w:rFonts w:ascii="宋体" w:hAnsi="宋体" w:eastAsia="宋体" w:cs="宋体"/>
          <w:sz w:val="30"/>
          <w:szCs w:val="30"/>
        </w:rPr>
        <w:t>价响应文件在</w:t>
      </w:r>
      <w:r>
        <w:rPr>
          <w:rFonts w:hint="eastAsia" w:ascii="宋体" w:hAnsi="宋体" w:eastAsia="宋体" w:cs="宋体"/>
          <w:sz w:val="30"/>
          <w:szCs w:val="30"/>
        </w:rPr>
        <w:t>竞</w:t>
      </w:r>
      <w:r>
        <w:rPr>
          <w:rFonts w:ascii="宋体" w:hAnsi="宋体" w:eastAsia="宋体" w:cs="宋体"/>
          <w:sz w:val="30"/>
          <w:szCs w:val="30"/>
        </w:rPr>
        <w:t>价文件规定的有效期内有效，在此期间内如果成交，我方将受此约束。</w:t>
      </w:r>
    </w:p>
    <w:p w14:paraId="60F41FD0">
      <w:pPr>
        <w:rPr>
          <w:rFonts w:ascii="宋体" w:hAnsi="宋体" w:eastAsia="宋体" w:cs="宋体"/>
          <w:sz w:val="30"/>
          <w:szCs w:val="30"/>
        </w:rPr>
      </w:pPr>
      <w:r>
        <w:rPr>
          <w:rFonts w:hint="eastAsia" w:ascii="宋体" w:hAnsi="宋体" w:eastAsia="宋体" w:cs="宋体"/>
          <w:sz w:val="30"/>
          <w:szCs w:val="30"/>
        </w:rPr>
        <w:t>7.</w:t>
      </w:r>
      <w:r>
        <w:rPr>
          <w:rFonts w:ascii="宋体" w:hAnsi="宋体" w:eastAsia="宋体" w:cs="宋体"/>
          <w:sz w:val="30"/>
          <w:szCs w:val="30"/>
        </w:rPr>
        <w:t>除非另外达成协议并生效，你方的成交通知书和本</w:t>
      </w:r>
      <w:r>
        <w:rPr>
          <w:rFonts w:hint="eastAsia" w:ascii="宋体" w:hAnsi="宋体" w:eastAsia="宋体" w:cs="宋体"/>
          <w:sz w:val="30"/>
          <w:szCs w:val="30"/>
        </w:rPr>
        <w:t>竞</w:t>
      </w:r>
      <w:r>
        <w:rPr>
          <w:rFonts w:ascii="宋体" w:hAnsi="宋体" w:eastAsia="宋体" w:cs="宋体"/>
          <w:sz w:val="30"/>
          <w:szCs w:val="30"/>
        </w:rPr>
        <w:t>价响应文件以及</w:t>
      </w:r>
      <w:r>
        <w:rPr>
          <w:rFonts w:hint="eastAsia" w:ascii="宋体" w:hAnsi="宋体" w:eastAsia="宋体" w:cs="宋体"/>
          <w:sz w:val="30"/>
          <w:szCs w:val="30"/>
        </w:rPr>
        <w:t>竞</w:t>
      </w:r>
      <w:r>
        <w:rPr>
          <w:rFonts w:ascii="宋体" w:hAnsi="宋体" w:eastAsia="宋体" w:cs="宋体"/>
          <w:sz w:val="30"/>
          <w:szCs w:val="30"/>
        </w:rPr>
        <w:t>价文件、</w:t>
      </w:r>
      <w:r>
        <w:rPr>
          <w:rFonts w:hint="eastAsia" w:ascii="宋体" w:hAnsi="宋体" w:eastAsia="宋体" w:cs="宋体"/>
          <w:sz w:val="30"/>
          <w:szCs w:val="30"/>
        </w:rPr>
        <w:t>竞</w:t>
      </w:r>
      <w:r>
        <w:rPr>
          <w:rFonts w:ascii="宋体" w:hAnsi="宋体" w:eastAsia="宋体" w:cs="宋体"/>
          <w:sz w:val="30"/>
          <w:szCs w:val="30"/>
        </w:rPr>
        <w:t>价文件澄清、修改、补充将成为约束双方的合同文件的组成部分</w:t>
      </w:r>
      <w:r>
        <w:rPr>
          <w:rFonts w:hint="eastAsia" w:ascii="宋体" w:hAnsi="宋体" w:eastAsia="宋体" w:cs="宋体"/>
          <w:sz w:val="30"/>
          <w:szCs w:val="30"/>
        </w:rPr>
        <w:t>。</w:t>
      </w:r>
    </w:p>
    <w:p w14:paraId="4EB8453A">
      <w:pPr>
        <w:rPr>
          <w:rFonts w:ascii="宋体" w:hAnsi="宋体" w:eastAsia="宋体" w:cs="宋体"/>
          <w:sz w:val="30"/>
          <w:szCs w:val="30"/>
        </w:rPr>
      </w:pPr>
      <w:r>
        <w:rPr>
          <w:rFonts w:hint="eastAsia" w:ascii="宋体" w:hAnsi="宋体" w:eastAsia="宋体" w:cs="宋体"/>
          <w:sz w:val="30"/>
          <w:szCs w:val="30"/>
        </w:rPr>
        <w:t>8</w:t>
      </w:r>
      <w:r>
        <w:rPr>
          <w:rFonts w:ascii="宋体" w:hAnsi="宋体" w:eastAsia="宋体" w:cs="宋体"/>
          <w:sz w:val="30"/>
          <w:szCs w:val="30"/>
        </w:rPr>
        <w:t>.我方承诺</w:t>
      </w:r>
      <w:r>
        <w:rPr>
          <w:rFonts w:hint="eastAsia" w:ascii="宋体" w:hAnsi="宋体" w:eastAsia="宋体" w:cs="宋体"/>
          <w:sz w:val="30"/>
          <w:szCs w:val="30"/>
        </w:rPr>
        <w:t>：</w:t>
      </w:r>
    </w:p>
    <w:p w14:paraId="77AAE06C">
      <w:pPr>
        <w:rPr>
          <w:rFonts w:ascii="宋体" w:hAnsi="宋体" w:eastAsia="宋体" w:cs="宋体"/>
          <w:sz w:val="30"/>
          <w:szCs w:val="30"/>
        </w:rPr>
      </w:pPr>
      <w:r>
        <w:rPr>
          <w:rFonts w:hint="eastAsia" w:ascii="宋体" w:hAnsi="宋体" w:eastAsia="宋体" w:cs="宋体"/>
          <w:sz w:val="30"/>
          <w:szCs w:val="30"/>
        </w:rPr>
        <w:t>（1）</w:t>
      </w:r>
      <w:r>
        <w:rPr>
          <w:rFonts w:ascii="宋体" w:hAnsi="宋体" w:eastAsia="宋体" w:cs="宋体"/>
          <w:sz w:val="30"/>
          <w:szCs w:val="30"/>
        </w:rPr>
        <w:t>我单位</w:t>
      </w:r>
      <w:r>
        <w:rPr>
          <w:rFonts w:hint="eastAsia" w:ascii="宋体" w:hAnsi="宋体" w:eastAsia="宋体" w:cs="宋体"/>
          <w:sz w:val="30"/>
          <w:szCs w:val="30"/>
        </w:rPr>
        <w:t>竞</w:t>
      </w:r>
      <w:r>
        <w:rPr>
          <w:rFonts w:ascii="宋体" w:hAnsi="宋体" w:eastAsia="宋体" w:cs="宋体"/>
          <w:sz w:val="30"/>
          <w:szCs w:val="30"/>
        </w:rPr>
        <w:t>价并成交后在项目所在地交纳相关税费</w:t>
      </w:r>
      <w:r>
        <w:rPr>
          <w:rFonts w:hint="eastAsia" w:ascii="宋体" w:hAnsi="宋体" w:eastAsia="宋体" w:cs="宋体"/>
          <w:sz w:val="30"/>
          <w:szCs w:val="30"/>
        </w:rPr>
        <w:t>。</w:t>
      </w:r>
    </w:p>
    <w:p w14:paraId="00A13D78">
      <w:pPr>
        <w:rPr>
          <w:rFonts w:ascii="宋体" w:hAnsi="宋体" w:eastAsia="宋体" w:cs="宋体"/>
          <w:sz w:val="30"/>
          <w:szCs w:val="30"/>
        </w:rPr>
      </w:pPr>
      <w:r>
        <w:rPr>
          <w:rFonts w:hint="eastAsia" w:ascii="宋体" w:hAnsi="宋体" w:eastAsia="宋体" w:cs="宋体"/>
          <w:sz w:val="30"/>
          <w:szCs w:val="30"/>
        </w:rPr>
        <w:t>（2）</w:t>
      </w:r>
      <w:r>
        <w:rPr>
          <w:rFonts w:ascii="宋体" w:hAnsi="宋体" w:eastAsia="宋体" w:cs="宋体"/>
          <w:sz w:val="30"/>
          <w:szCs w:val="30"/>
        </w:rPr>
        <w:t>我方已对</w:t>
      </w:r>
      <w:r>
        <w:rPr>
          <w:rFonts w:hint="eastAsia" w:ascii="宋体" w:hAnsi="宋体" w:eastAsia="宋体" w:cs="宋体"/>
          <w:sz w:val="30"/>
          <w:szCs w:val="30"/>
        </w:rPr>
        <w:t>招标单位</w:t>
      </w:r>
      <w:r>
        <w:rPr>
          <w:rFonts w:ascii="宋体" w:hAnsi="宋体" w:eastAsia="宋体" w:cs="宋体"/>
          <w:sz w:val="30"/>
          <w:szCs w:val="30"/>
        </w:rPr>
        <w:t>提供的最高投标限价(控制价)进行认真复核 ，确认无误，成交后不再另行调整。</w:t>
      </w:r>
    </w:p>
    <w:p w14:paraId="12E6EFB7">
      <w:pPr>
        <w:rPr>
          <w:rFonts w:ascii="宋体" w:hAnsi="宋体" w:eastAsia="宋体" w:cs="宋体"/>
          <w:sz w:val="30"/>
          <w:szCs w:val="30"/>
        </w:rPr>
      </w:pPr>
      <w:r>
        <w:rPr>
          <w:rFonts w:hint="eastAsia" w:ascii="宋体" w:hAnsi="宋体" w:eastAsia="宋体" w:cs="宋体"/>
          <w:sz w:val="30"/>
          <w:szCs w:val="30"/>
        </w:rPr>
        <w:t>（3）</w:t>
      </w:r>
      <w:r>
        <w:rPr>
          <w:rFonts w:ascii="宋体" w:hAnsi="宋体" w:eastAsia="宋体" w:cs="宋体"/>
          <w:sz w:val="30"/>
          <w:szCs w:val="30"/>
        </w:rPr>
        <w:t>我方报价中已考虑实行增值税计税模式带来的影响，报价中已包含</w:t>
      </w:r>
      <w:r>
        <w:rPr>
          <w:rFonts w:hint="eastAsia" w:ascii="宋体" w:hAnsi="宋体" w:eastAsia="宋体" w:cs="宋体"/>
          <w:sz w:val="30"/>
          <w:szCs w:val="30"/>
        </w:rPr>
        <w:t>竞</w:t>
      </w:r>
      <w:r>
        <w:rPr>
          <w:rFonts w:ascii="宋体" w:hAnsi="宋体" w:eastAsia="宋体" w:cs="宋体"/>
          <w:sz w:val="30"/>
          <w:szCs w:val="30"/>
        </w:rPr>
        <w:t>价文件公布的</w:t>
      </w:r>
      <w:r>
        <w:rPr>
          <w:rFonts w:hint="eastAsia" w:ascii="宋体" w:hAnsi="宋体" w:eastAsia="宋体" w:cs="宋体"/>
          <w:sz w:val="30"/>
          <w:szCs w:val="30"/>
        </w:rPr>
        <w:t>一切</w:t>
      </w:r>
      <w:r>
        <w:rPr>
          <w:rFonts w:ascii="宋体" w:hAnsi="宋体" w:eastAsia="宋体" w:cs="宋体"/>
          <w:sz w:val="30"/>
          <w:szCs w:val="30"/>
        </w:rPr>
        <w:t>费用，一旦我方成交，将严格遵守国家、省、市增值税相关规定的要求。</w:t>
      </w:r>
    </w:p>
    <w:p w14:paraId="5A21B74D">
      <w:pPr>
        <w:rPr>
          <w:rFonts w:ascii="宋体" w:hAnsi="宋体" w:eastAsia="宋体" w:cs="宋体"/>
          <w:sz w:val="30"/>
          <w:szCs w:val="30"/>
        </w:rPr>
      </w:pPr>
      <w:r>
        <w:rPr>
          <w:rFonts w:hint="eastAsia" w:ascii="宋体" w:hAnsi="宋体" w:eastAsia="宋体" w:cs="宋体"/>
          <w:sz w:val="30"/>
          <w:szCs w:val="30"/>
        </w:rPr>
        <w:t>（4）我方无条件响应竞价文件公告中所有内容。</w:t>
      </w:r>
    </w:p>
    <w:p w14:paraId="53B0E3F9">
      <w:pPr>
        <w:rPr>
          <w:rFonts w:ascii="宋体" w:hAnsi="宋体" w:eastAsia="宋体" w:cs="宋体"/>
          <w:sz w:val="30"/>
          <w:szCs w:val="30"/>
        </w:rPr>
      </w:pPr>
      <w:r>
        <w:rPr>
          <w:rFonts w:hint="eastAsia" w:ascii="宋体" w:hAnsi="宋体" w:eastAsia="宋体" w:cs="宋体"/>
          <w:sz w:val="30"/>
          <w:szCs w:val="30"/>
        </w:rPr>
        <w:t>9</w:t>
      </w:r>
      <w:r>
        <w:rPr>
          <w:rFonts w:ascii="宋体" w:hAnsi="宋体" w:eastAsia="宋体" w:cs="宋体"/>
          <w:sz w:val="30"/>
          <w:szCs w:val="30"/>
        </w:rPr>
        <w:t>.其他补充说明</w:t>
      </w:r>
      <w:r>
        <w:rPr>
          <w:rFonts w:hint="eastAsia" w:ascii="宋体" w:hAnsi="宋体" w:eastAsia="宋体" w:cs="宋体"/>
          <w:sz w:val="30"/>
          <w:szCs w:val="30"/>
        </w:rPr>
        <w:t>：</w:t>
      </w:r>
      <w:r>
        <w:rPr>
          <w:rFonts w:ascii="宋体" w:hAnsi="宋体" w:eastAsia="宋体" w:cs="宋体"/>
          <w:sz w:val="30"/>
          <w:szCs w:val="30"/>
        </w:rPr>
        <w:t>补充说明事项(如有)</w:t>
      </w:r>
    </w:p>
    <w:p w14:paraId="4A91577C">
      <w:pPr>
        <w:rPr>
          <w:rFonts w:ascii="宋体" w:hAnsi="宋体" w:eastAsia="宋体" w:cs="宋体"/>
          <w:sz w:val="30"/>
          <w:szCs w:val="30"/>
        </w:rPr>
      </w:pPr>
    </w:p>
    <w:p w14:paraId="286B3B6E">
      <w:pPr>
        <w:rPr>
          <w:rFonts w:ascii="宋体" w:hAnsi="宋体" w:eastAsia="宋体" w:cs="宋体"/>
          <w:sz w:val="30"/>
          <w:szCs w:val="30"/>
        </w:rPr>
      </w:pPr>
    </w:p>
    <w:p w14:paraId="4029E8D5">
      <w:pPr>
        <w:rPr>
          <w:rFonts w:ascii="宋体" w:hAnsi="宋体" w:eastAsia="宋体" w:cs="宋体"/>
          <w:sz w:val="30"/>
          <w:szCs w:val="30"/>
        </w:rPr>
      </w:pPr>
    </w:p>
    <w:p w14:paraId="5618DCB1">
      <w:pPr>
        <w:jc w:val="center"/>
        <w:rPr>
          <w:rFonts w:ascii="宋体" w:hAnsi="宋体" w:eastAsia="宋体" w:cs="宋体"/>
          <w:sz w:val="30"/>
          <w:szCs w:val="30"/>
        </w:rPr>
      </w:pPr>
      <w:r>
        <w:rPr>
          <w:rFonts w:hint="eastAsia" w:ascii="宋体" w:hAnsi="宋体" w:eastAsia="宋体" w:cs="宋体"/>
          <w:sz w:val="30"/>
          <w:szCs w:val="30"/>
        </w:rPr>
        <w:t xml:space="preserve">               投标单位</w:t>
      </w:r>
      <w:r>
        <w:rPr>
          <w:rFonts w:ascii="宋体" w:hAnsi="宋体" w:eastAsia="宋体" w:cs="宋体"/>
          <w:sz w:val="30"/>
          <w:szCs w:val="30"/>
        </w:rPr>
        <w:t>签章</w:t>
      </w:r>
      <w:r>
        <w:rPr>
          <w:rFonts w:hint="eastAsia" w:ascii="宋体" w:hAnsi="宋体" w:eastAsia="宋体" w:cs="宋体"/>
          <w:sz w:val="30"/>
          <w:szCs w:val="30"/>
        </w:rPr>
        <w:t>：</w:t>
      </w:r>
    </w:p>
    <w:p w14:paraId="71AB2AC6">
      <w:pPr>
        <w:jc w:val="center"/>
        <w:rPr>
          <w:rFonts w:ascii="宋体" w:hAnsi="宋体" w:eastAsia="宋体" w:cs="宋体"/>
          <w:sz w:val="30"/>
          <w:szCs w:val="30"/>
        </w:rPr>
      </w:pPr>
      <w:r>
        <w:rPr>
          <w:rFonts w:hint="eastAsia" w:ascii="宋体" w:hAnsi="宋体" w:eastAsia="宋体" w:cs="宋体"/>
          <w:sz w:val="30"/>
          <w:szCs w:val="30"/>
        </w:rPr>
        <w:t xml:space="preserve">                日        </w:t>
      </w:r>
      <w:r>
        <w:rPr>
          <w:rFonts w:ascii="宋体" w:hAnsi="宋体" w:eastAsia="宋体" w:cs="宋体"/>
          <w:sz w:val="30"/>
          <w:szCs w:val="30"/>
        </w:rPr>
        <w:t>期</w:t>
      </w:r>
      <w:r>
        <w:rPr>
          <w:rFonts w:hint="eastAsia" w:ascii="宋体" w:hAnsi="宋体" w:eastAsia="宋体" w:cs="宋体"/>
          <w:sz w:val="30"/>
          <w:szCs w:val="30"/>
        </w:rPr>
        <w:t>：</w:t>
      </w:r>
    </w:p>
    <w:p w14:paraId="73B44DD7">
      <w:pPr>
        <w:jc w:val="center"/>
        <w:rPr>
          <w:rFonts w:ascii="宋体" w:hAnsi="宋体" w:eastAsia="宋体" w:cs="宋体"/>
          <w:sz w:val="30"/>
          <w:szCs w:val="30"/>
        </w:rPr>
      </w:pPr>
    </w:p>
    <w:p w14:paraId="06E40AB2">
      <w:pPr>
        <w:jc w:val="center"/>
        <w:rPr>
          <w:rFonts w:ascii="宋体" w:hAnsi="宋体" w:eastAsia="宋体" w:cs="宋体"/>
          <w:sz w:val="30"/>
          <w:szCs w:val="30"/>
        </w:rPr>
      </w:pPr>
    </w:p>
    <w:p w14:paraId="6AFA53DA">
      <w:pPr>
        <w:jc w:val="center"/>
        <w:rPr>
          <w:rFonts w:ascii="宋体" w:hAnsi="宋体" w:eastAsia="宋体" w:cs="宋体"/>
          <w:sz w:val="30"/>
          <w:szCs w:val="30"/>
        </w:rPr>
      </w:pPr>
    </w:p>
    <w:p w14:paraId="5D540379">
      <w:pPr>
        <w:jc w:val="center"/>
        <w:rPr>
          <w:rFonts w:ascii="宋体" w:hAnsi="宋体" w:eastAsia="宋体" w:cs="宋体"/>
          <w:sz w:val="30"/>
          <w:szCs w:val="30"/>
        </w:rPr>
      </w:pPr>
    </w:p>
    <w:p w14:paraId="04E4BB02">
      <w:pPr>
        <w:jc w:val="center"/>
        <w:rPr>
          <w:rFonts w:ascii="宋体" w:hAnsi="宋体" w:eastAsia="宋体" w:cs="宋体"/>
          <w:sz w:val="30"/>
          <w:szCs w:val="30"/>
        </w:rPr>
      </w:pPr>
    </w:p>
    <w:p w14:paraId="0B77E4D5">
      <w:pPr>
        <w:jc w:val="center"/>
        <w:rPr>
          <w:rFonts w:ascii="宋体" w:hAnsi="宋体" w:eastAsia="宋体" w:cs="宋体"/>
          <w:sz w:val="30"/>
          <w:szCs w:val="30"/>
        </w:rPr>
      </w:pPr>
    </w:p>
    <w:p w14:paraId="0A499C46">
      <w:pPr>
        <w:jc w:val="center"/>
        <w:rPr>
          <w:rFonts w:ascii="宋体" w:hAnsi="宋体" w:eastAsia="宋体" w:cs="宋体"/>
          <w:sz w:val="30"/>
          <w:szCs w:val="30"/>
        </w:rPr>
      </w:pPr>
    </w:p>
    <w:p w14:paraId="5E32D2BB">
      <w:pPr>
        <w:jc w:val="center"/>
        <w:rPr>
          <w:rFonts w:ascii="宋体" w:hAnsi="宋体" w:eastAsia="宋体" w:cs="宋体"/>
          <w:sz w:val="30"/>
          <w:szCs w:val="30"/>
        </w:rPr>
      </w:pPr>
    </w:p>
    <w:p w14:paraId="24ABBB0D">
      <w:pPr>
        <w:jc w:val="center"/>
        <w:rPr>
          <w:rFonts w:ascii="宋体" w:hAnsi="宋体" w:eastAsia="宋体" w:cs="宋体"/>
          <w:sz w:val="30"/>
          <w:szCs w:val="30"/>
        </w:rPr>
      </w:pPr>
    </w:p>
    <w:p w14:paraId="42C7604E">
      <w:pPr>
        <w:jc w:val="center"/>
        <w:rPr>
          <w:rFonts w:ascii="宋体" w:hAnsi="宋体" w:eastAsia="宋体" w:cs="宋体"/>
          <w:sz w:val="30"/>
          <w:szCs w:val="30"/>
        </w:rPr>
      </w:pPr>
    </w:p>
    <w:p w14:paraId="6CCD2919">
      <w:pPr>
        <w:jc w:val="center"/>
        <w:rPr>
          <w:rFonts w:ascii="宋体" w:hAnsi="宋体" w:eastAsia="宋体" w:cs="宋体"/>
          <w:b/>
          <w:bCs/>
          <w:sz w:val="30"/>
          <w:szCs w:val="30"/>
        </w:rPr>
      </w:pPr>
      <w:r>
        <w:rPr>
          <w:rFonts w:hint="eastAsia" w:ascii="宋体" w:hAnsi="宋体" w:eastAsia="宋体" w:cs="宋体"/>
          <w:b/>
          <w:bCs/>
          <w:sz w:val="30"/>
          <w:szCs w:val="30"/>
        </w:rPr>
        <w:t>四</w:t>
      </w:r>
      <w:r>
        <w:rPr>
          <w:rFonts w:ascii="宋体" w:hAnsi="宋体" w:eastAsia="宋体" w:cs="宋体"/>
          <w:b/>
          <w:bCs/>
          <w:sz w:val="30"/>
          <w:szCs w:val="30"/>
        </w:rPr>
        <w:t>、授权书</w:t>
      </w:r>
    </w:p>
    <w:p w14:paraId="3740029F">
      <w:pPr>
        <w:jc w:val="center"/>
        <w:rPr>
          <w:rFonts w:ascii="宋体" w:hAnsi="宋体" w:eastAsia="宋体" w:cs="宋体"/>
          <w:b/>
          <w:bCs/>
          <w:sz w:val="30"/>
          <w:szCs w:val="30"/>
        </w:rPr>
      </w:pPr>
    </w:p>
    <w:p w14:paraId="44A0624C">
      <w:pPr>
        <w:ind w:firstLine="600" w:firstLineChars="200"/>
        <w:rPr>
          <w:rFonts w:ascii="宋体" w:hAnsi="宋体" w:eastAsia="宋体" w:cs="宋体"/>
          <w:sz w:val="30"/>
          <w:szCs w:val="30"/>
        </w:rPr>
      </w:pPr>
      <w:r>
        <w:rPr>
          <w:rFonts w:ascii="宋体" w:hAnsi="宋体" w:eastAsia="宋体" w:cs="宋体"/>
          <w:sz w:val="30"/>
          <w:szCs w:val="30"/>
        </w:rPr>
        <w:t>本授权书声明</w:t>
      </w:r>
      <w:r>
        <w:rPr>
          <w:rFonts w:hint="eastAsia" w:ascii="宋体" w:hAnsi="宋体" w:eastAsia="宋体" w:cs="宋体"/>
          <w:sz w:val="30"/>
          <w:szCs w:val="30"/>
        </w:rPr>
        <w:t>：（投标单位</w:t>
      </w:r>
      <w:r>
        <w:rPr>
          <w:rFonts w:ascii="宋体" w:hAnsi="宋体" w:eastAsia="宋体" w:cs="宋体"/>
          <w:sz w:val="30"/>
          <w:szCs w:val="30"/>
        </w:rPr>
        <w:t>名称</w:t>
      </w:r>
      <w:r>
        <w:rPr>
          <w:rFonts w:hint="eastAsia" w:ascii="宋体" w:hAnsi="宋体" w:eastAsia="宋体" w:cs="宋体"/>
          <w:sz w:val="30"/>
          <w:szCs w:val="30"/>
        </w:rPr>
        <w:t>）</w:t>
      </w:r>
      <w:r>
        <w:rPr>
          <w:rFonts w:ascii="宋体" w:hAnsi="宋体" w:eastAsia="宋体" w:cs="宋体"/>
          <w:sz w:val="30"/>
          <w:szCs w:val="30"/>
        </w:rPr>
        <w:t>授权(</w:t>
      </w:r>
      <w:r>
        <w:rPr>
          <w:rFonts w:hint="eastAsia" w:ascii="宋体" w:hAnsi="宋体" w:eastAsia="宋体" w:cs="宋体"/>
          <w:sz w:val="30"/>
          <w:szCs w:val="30"/>
        </w:rPr>
        <w:t>投标单位</w:t>
      </w:r>
      <w:r>
        <w:rPr>
          <w:rFonts w:ascii="宋体" w:hAnsi="宋体" w:eastAsia="宋体" w:cs="宋体"/>
          <w:sz w:val="30"/>
          <w:szCs w:val="30"/>
        </w:rPr>
        <w:t>授权代表姓名、职务)代表我方参加</w:t>
      </w:r>
      <w:r>
        <w:rPr>
          <w:rFonts w:hint="eastAsia" w:ascii="宋体" w:hAnsi="宋体" w:eastAsia="宋体" w:cs="宋体"/>
          <w:sz w:val="30"/>
          <w:szCs w:val="30"/>
        </w:rPr>
        <w:t>（项目名称）</w:t>
      </w:r>
      <w:r>
        <w:rPr>
          <w:rFonts w:ascii="宋体" w:hAnsi="宋体" w:eastAsia="宋体" w:cs="宋体"/>
          <w:sz w:val="30"/>
          <w:szCs w:val="30"/>
        </w:rPr>
        <w:t>竟价活动，全权代表我方处理竟价过程的一切事宜，包括但不限于</w:t>
      </w:r>
      <w:r>
        <w:rPr>
          <w:rFonts w:hint="eastAsia" w:ascii="宋体" w:hAnsi="宋体" w:eastAsia="宋体" w:cs="宋体"/>
          <w:sz w:val="30"/>
          <w:szCs w:val="30"/>
        </w:rPr>
        <w:t>：</w:t>
      </w:r>
      <w:r>
        <w:rPr>
          <w:rFonts w:ascii="宋体" w:hAnsi="宋体" w:eastAsia="宋体" w:cs="宋体"/>
          <w:sz w:val="30"/>
          <w:szCs w:val="30"/>
        </w:rPr>
        <w:t>提交竟价响应文件、参与竟价、签约等。</w:t>
      </w:r>
      <w:r>
        <w:rPr>
          <w:rFonts w:hint="eastAsia" w:ascii="宋体" w:hAnsi="宋体" w:eastAsia="宋体" w:cs="宋体"/>
          <w:sz w:val="30"/>
          <w:szCs w:val="30"/>
        </w:rPr>
        <w:t>投标单位</w:t>
      </w:r>
      <w:r>
        <w:rPr>
          <w:rFonts w:ascii="宋体" w:hAnsi="宋体" w:eastAsia="宋体" w:cs="宋体"/>
          <w:sz w:val="30"/>
          <w:szCs w:val="30"/>
        </w:rPr>
        <w:t>授权代表在竟价活动过程中所签署的一切文件和处理与之有关的一切事务，本公司均予以认可并对此承担责任。</w:t>
      </w:r>
      <w:r>
        <w:rPr>
          <w:rFonts w:hint="eastAsia" w:ascii="宋体" w:hAnsi="宋体" w:eastAsia="宋体" w:cs="宋体"/>
          <w:sz w:val="30"/>
          <w:szCs w:val="30"/>
        </w:rPr>
        <w:t>投标单位</w:t>
      </w:r>
      <w:r>
        <w:rPr>
          <w:rFonts w:ascii="宋体" w:hAnsi="宋体" w:eastAsia="宋体" w:cs="宋体"/>
          <w:sz w:val="30"/>
          <w:szCs w:val="30"/>
        </w:rPr>
        <w:t>授权代表无转委托权。特此授权。</w:t>
      </w:r>
    </w:p>
    <w:p w14:paraId="77715A77">
      <w:pPr>
        <w:ind w:firstLine="600" w:firstLineChars="200"/>
        <w:rPr>
          <w:rFonts w:ascii="宋体" w:hAnsi="宋体" w:eastAsia="宋体" w:cs="宋体"/>
          <w:sz w:val="30"/>
          <w:szCs w:val="30"/>
        </w:rPr>
      </w:pPr>
      <w:r>
        <w:rPr>
          <w:rFonts w:ascii="宋体" w:hAnsi="宋体" w:eastAsia="宋体" w:cs="宋体"/>
          <w:sz w:val="30"/>
          <w:szCs w:val="30"/>
        </w:rPr>
        <w:t>本授权书自出具之日起生效</w:t>
      </w:r>
      <w:r>
        <w:rPr>
          <w:rFonts w:hint="eastAsia" w:ascii="宋体" w:hAnsi="宋体" w:eastAsia="宋体" w:cs="宋体"/>
          <w:sz w:val="30"/>
          <w:szCs w:val="30"/>
        </w:rPr>
        <w:t>。</w:t>
      </w:r>
    </w:p>
    <w:p w14:paraId="018624F5">
      <w:pPr>
        <w:ind w:firstLine="600" w:firstLineChars="200"/>
        <w:rPr>
          <w:rFonts w:ascii="宋体" w:hAnsi="宋体" w:eastAsia="宋体" w:cs="宋体"/>
          <w:sz w:val="30"/>
          <w:szCs w:val="30"/>
        </w:rPr>
      </w:pPr>
      <w:r>
        <w:rPr>
          <w:rFonts w:ascii="宋体" w:hAnsi="宋体" w:eastAsia="宋体" w:cs="宋体"/>
          <w:sz w:val="30"/>
          <w:szCs w:val="30"/>
        </w:rPr>
        <w:t>授权代表身份证明扫描件</w:t>
      </w:r>
      <w:r>
        <w:rPr>
          <w:rFonts w:hint="eastAsia" w:ascii="宋体" w:hAnsi="宋体" w:eastAsia="宋体" w:cs="宋体"/>
          <w:sz w:val="30"/>
          <w:szCs w:val="30"/>
        </w:rPr>
        <w:t>：</w:t>
      </w:r>
    </w:p>
    <w:p w14:paraId="2E1BE36C">
      <w:pPr>
        <w:ind w:firstLine="600" w:firstLineChars="200"/>
        <w:rPr>
          <w:rFonts w:ascii="宋体" w:hAnsi="宋体" w:eastAsia="宋体" w:cs="宋体"/>
          <w:sz w:val="30"/>
          <w:szCs w:val="30"/>
        </w:rPr>
      </w:pPr>
      <w:r>
        <w:rPr>
          <w:rFonts w:ascii="宋体" w:hAnsi="宋体" w:eastAsia="宋体" w:cs="宋体"/>
          <w:sz w:val="30"/>
          <w:szCs w:val="30"/>
        </w:rPr>
        <w:t>授权代表联系方式:(请填写手机号码)</w:t>
      </w:r>
    </w:p>
    <w:p w14:paraId="530F611E">
      <w:pPr>
        <w:jc w:val="center"/>
        <w:rPr>
          <w:rFonts w:ascii="宋体" w:hAnsi="宋体" w:eastAsia="宋体" w:cs="宋体"/>
          <w:sz w:val="30"/>
          <w:szCs w:val="30"/>
        </w:rPr>
      </w:pPr>
    </w:p>
    <w:p w14:paraId="330BC2D4">
      <w:pPr>
        <w:jc w:val="center"/>
        <w:rPr>
          <w:rFonts w:ascii="宋体" w:hAnsi="宋体" w:eastAsia="宋体" w:cs="宋体"/>
          <w:sz w:val="30"/>
          <w:szCs w:val="30"/>
        </w:rPr>
      </w:pPr>
      <w:r>
        <w:rPr>
          <w:rFonts w:hint="eastAsia" w:ascii="宋体" w:hAnsi="宋体" w:eastAsia="宋体" w:cs="宋体"/>
          <w:sz w:val="30"/>
          <w:szCs w:val="30"/>
        </w:rPr>
        <w:t xml:space="preserve">  投标单位</w:t>
      </w:r>
      <w:r>
        <w:rPr>
          <w:rFonts w:ascii="宋体" w:hAnsi="宋体" w:eastAsia="宋体" w:cs="宋体"/>
          <w:sz w:val="30"/>
          <w:szCs w:val="30"/>
        </w:rPr>
        <w:t>签章</w:t>
      </w:r>
      <w:r>
        <w:rPr>
          <w:rFonts w:hint="eastAsia" w:ascii="宋体" w:hAnsi="宋体" w:eastAsia="宋体" w:cs="宋体"/>
          <w:sz w:val="30"/>
          <w:szCs w:val="30"/>
        </w:rPr>
        <w:t>：</w:t>
      </w:r>
    </w:p>
    <w:p w14:paraId="32B087ED">
      <w:pPr>
        <w:jc w:val="center"/>
        <w:rPr>
          <w:rFonts w:ascii="宋体" w:hAnsi="宋体" w:eastAsia="宋体" w:cs="宋体"/>
          <w:sz w:val="30"/>
          <w:szCs w:val="30"/>
        </w:rPr>
      </w:pPr>
      <w:r>
        <w:rPr>
          <w:rFonts w:hint="eastAsia" w:ascii="宋体" w:hAnsi="宋体" w:eastAsia="宋体" w:cs="宋体"/>
          <w:sz w:val="30"/>
          <w:szCs w:val="30"/>
        </w:rPr>
        <w:t xml:space="preserve">        年  月  日</w:t>
      </w:r>
    </w:p>
    <w:p w14:paraId="5AEC1CFC">
      <w:pPr>
        <w:rPr>
          <w:rFonts w:ascii="宋体" w:hAnsi="宋体" w:eastAsia="宋体" w:cs="宋体"/>
          <w:sz w:val="30"/>
          <w:szCs w:val="30"/>
        </w:rPr>
      </w:pPr>
    </w:p>
    <w:p w14:paraId="28F385D4">
      <w:pPr>
        <w:rPr>
          <w:rFonts w:ascii="宋体" w:hAnsi="宋体" w:eastAsia="宋体" w:cs="宋体"/>
          <w:sz w:val="30"/>
          <w:szCs w:val="30"/>
        </w:rPr>
      </w:pPr>
    </w:p>
    <w:p w14:paraId="612822D6">
      <w:pPr>
        <w:rPr>
          <w:rFonts w:ascii="宋体" w:hAnsi="宋体" w:eastAsia="宋体" w:cs="宋体"/>
          <w:sz w:val="30"/>
          <w:szCs w:val="30"/>
        </w:rPr>
      </w:pPr>
    </w:p>
    <w:p w14:paraId="4A643615">
      <w:pPr>
        <w:rPr>
          <w:rFonts w:ascii="宋体" w:hAnsi="宋体" w:eastAsia="宋体" w:cs="宋体"/>
          <w:sz w:val="30"/>
          <w:szCs w:val="30"/>
        </w:rPr>
      </w:pPr>
      <w:r>
        <w:rPr>
          <w:rFonts w:hint="eastAsia" w:ascii="宋体" w:hAnsi="宋体" w:eastAsia="宋体" w:cs="宋体"/>
          <w:sz w:val="30"/>
          <w:szCs w:val="30"/>
        </w:rPr>
        <w:t>注：</w:t>
      </w:r>
    </w:p>
    <w:p w14:paraId="68F62AE4">
      <w:pPr>
        <w:numPr>
          <w:ilvl w:val="0"/>
          <w:numId w:val="2"/>
        </w:numPr>
        <w:rPr>
          <w:rFonts w:ascii="宋体" w:hAnsi="宋体" w:eastAsia="宋体" w:cs="宋体"/>
          <w:sz w:val="30"/>
          <w:szCs w:val="30"/>
        </w:rPr>
      </w:pPr>
      <w:r>
        <w:rPr>
          <w:rFonts w:ascii="宋体" w:hAnsi="宋体" w:eastAsia="宋体" w:cs="宋体"/>
          <w:sz w:val="30"/>
          <w:szCs w:val="30"/>
        </w:rPr>
        <w:t>本项目只允许有唯一的</w:t>
      </w:r>
      <w:r>
        <w:rPr>
          <w:rFonts w:hint="eastAsia" w:ascii="宋体" w:hAnsi="宋体" w:eastAsia="宋体" w:cs="宋体"/>
          <w:sz w:val="30"/>
          <w:szCs w:val="30"/>
        </w:rPr>
        <w:t>投标单位</w:t>
      </w:r>
      <w:r>
        <w:rPr>
          <w:rFonts w:ascii="宋体" w:hAnsi="宋体" w:eastAsia="宋体" w:cs="宋体"/>
          <w:sz w:val="30"/>
          <w:szCs w:val="30"/>
        </w:rPr>
        <w:t>授权代表，提供身份证明扫描件</w:t>
      </w:r>
      <w:r>
        <w:rPr>
          <w:rFonts w:hint="eastAsia" w:ascii="宋体" w:hAnsi="宋体" w:eastAsia="宋体" w:cs="宋体"/>
          <w:sz w:val="30"/>
          <w:szCs w:val="30"/>
        </w:rPr>
        <w:t>；</w:t>
      </w:r>
      <w:r>
        <w:rPr>
          <w:rFonts w:ascii="宋体" w:hAnsi="宋体" w:eastAsia="宋体" w:cs="宋体"/>
          <w:sz w:val="30"/>
          <w:szCs w:val="30"/>
        </w:rPr>
        <w:t>2.法定代表人参加竟价的无需提供授权书，仅提供身份证明扫描件</w:t>
      </w:r>
      <w:r>
        <w:rPr>
          <w:rFonts w:hint="eastAsia" w:ascii="宋体" w:hAnsi="宋体" w:eastAsia="宋体" w:cs="宋体"/>
          <w:sz w:val="30"/>
          <w:szCs w:val="30"/>
        </w:rPr>
        <w:t>。</w:t>
      </w:r>
    </w:p>
    <w:p w14:paraId="1AE565EE">
      <w:pPr>
        <w:rPr>
          <w:rFonts w:ascii="宋体" w:hAnsi="宋体" w:eastAsia="宋体" w:cs="宋体"/>
          <w:sz w:val="30"/>
          <w:szCs w:val="30"/>
        </w:rPr>
      </w:pPr>
    </w:p>
    <w:p w14:paraId="6E828AFA">
      <w:pPr>
        <w:rPr>
          <w:rFonts w:ascii="宋体" w:hAnsi="宋体" w:eastAsia="宋体" w:cs="宋体"/>
          <w:sz w:val="30"/>
          <w:szCs w:val="30"/>
        </w:rPr>
      </w:pPr>
    </w:p>
    <w:p w14:paraId="56199328">
      <w:pPr>
        <w:jc w:val="center"/>
        <w:rPr>
          <w:rFonts w:ascii="宋体" w:hAnsi="宋体" w:eastAsia="宋体" w:cs="宋体"/>
          <w:b/>
          <w:bCs/>
          <w:sz w:val="30"/>
          <w:szCs w:val="30"/>
        </w:rPr>
      </w:pPr>
      <w:r>
        <w:rPr>
          <w:rFonts w:hint="eastAsia" w:ascii="宋体" w:hAnsi="宋体" w:eastAsia="宋体" w:cs="宋体"/>
          <w:b/>
          <w:bCs/>
          <w:sz w:val="30"/>
          <w:szCs w:val="30"/>
        </w:rPr>
        <w:t>五、竞</w:t>
      </w:r>
      <w:r>
        <w:rPr>
          <w:rFonts w:ascii="宋体" w:hAnsi="宋体" w:eastAsia="宋体" w:cs="宋体"/>
          <w:b/>
          <w:bCs/>
          <w:sz w:val="30"/>
          <w:szCs w:val="30"/>
        </w:rPr>
        <w:t>价保证金缴纳凭证</w:t>
      </w:r>
    </w:p>
    <w:p w14:paraId="6AC0DE0E">
      <w:pPr>
        <w:jc w:val="center"/>
        <w:rPr>
          <w:rFonts w:ascii="宋体" w:hAnsi="宋体" w:eastAsia="宋体" w:cs="宋体"/>
          <w:b/>
          <w:bCs/>
          <w:sz w:val="30"/>
          <w:szCs w:val="30"/>
        </w:rPr>
      </w:pPr>
    </w:p>
    <w:p w14:paraId="2DC50B0B">
      <w:pPr>
        <w:jc w:val="center"/>
        <w:rPr>
          <w:rFonts w:ascii="宋体" w:hAnsi="宋体" w:eastAsia="宋体" w:cs="宋体"/>
          <w:b/>
          <w:bCs/>
          <w:sz w:val="30"/>
          <w:szCs w:val="30"/>
        </w:rPr>
      </w:pPr>
    </w:p>
    <w:p w14:paraId="0E7BB1BA">
      <w:pPr>
        <w:jc w:val="center"/>
        <w:rPr>
          <w:rFonts w:ascii="宋体" w:hAnsi="宋体" w:eastAsia="宋体" w:cs="宋体"/>
          <w:b/>
          <w:bCs/>
          <w:sz w:val="30"/>
          <w:szCs w:val="30"/>
        </w:rPr>
      </w:pPr>
    </w:p>
    <w:p w14:paraId="1A664276">
      <w:pPr>
        <w:jc w:val="center"/>
        <w:rPr>
          <w:rFonts w:ascii="宋体" w:hAnsi="宋体" w:eastAsia="宋体" w:cs="宋体"/>
          <w:b/>
          <w:bCs/>
          <w:sz w:val="30"/>
          <w:szCs w:val="30"/>
        </w:rPr>
      </w:pPr>
    </w:p>
    <w:p w14:paraId="73739317">
      <w:pPr>
        <w:jc w:val="center"/>
        <w:rPr>
          <w:rFonts w:ascii="宋体" w:hAnsi="宋体" w:eastAsia="宋体" w:cs="宋体"/>
          <w:b/>
          <w:bCs/>
          <w:sz w:val="30"/>
          <w:szCs w:val="30"/>
        </w:rPr>
      </w:pPr>
    </w:p>
    <w:p w14:paraId="27D4F677">
      <w:pPr>
        <w:jc w:val="center"/>
        <w:rPr>
          <w:rFonts w:ascii="宋体" w:hAnsi="宋体" w:eastAsia="宋体" w:cs="宋体"/>
          <w:b/>
          <w:bCs/>
          <w:sz w:val="30"/>
          <w:szCs w:val="30"/>
        </w:rPr>
      </w:pPr>
    </w:p>
    <w:p w14:paraId="49366CCE">
      <w:pPr>
        <w:jc w:val="center"/>
        <w:rPr>
          <w:rFonts w:ascii="宋体" w:hAnsi="宋体" w:eastAsia="宋体" w:cs="宋体"/>
          <w:b/>
          <w:bCs/>
          <w:sz w:val="30"/>
          <w:szCs w:val="30"/>
        </w:rPr>
      </w:pPr>
    </w:p>
    <w:p w14:paraId="55F71AF6">
      <w:pPr>
        <w:jc w:val="center"/>
        <w:rPr>
          <w:rFonts w:ascii="宋体" w:hAnsi="宋体" w:eastAsia="宋体" w:cs="宋体"/>
          <w:b/>
          <w:bCs/>
          <w:sz w:val="30"/>
          <w:szCs w:val="30"/>
        </w:rPr>
      </w:pPr>
    </w:p>
    <w:p w14:paraId="18671556">
      <w:pPr>
        <w:jc w:val="center"/>
        <w:rPr>
          <w:rFonts w:ascii="宋体" w:hAnsi="宋体" w:eastAsia="宋体" w:cs="宋体"/>
          <w:b/>
          <w:bCs/>
          <w:sz w:val="30"/>
          <w:szCs w:val="30"/>
        </w:rPr>
      </w:pPr>
    </w:p>
    <w:p w14:paraId="4B836F25">
      <w:pPr>
        <w:jc w:val="center"/>
        <w:rPr>
          <w:rFonts w:ascii="宋体" w:hAnsi="宋体" w:eastAsia="宋体" w:cs="宋体"/>
          <w:b/>
          <w:bCs/>
          <w:sz w:val="30"/>
          <w:szCs w:val="30"/>
        </w:rPr>
      </w:pPr>
    </w:p>
    <w:p w14:paraId="70ACB2FD">
      <w:pPr>
        <w:jc w:val="center"/>
        <w:rPr>
          <w:rFonts w:ascii="宋体" w:hAnsi="宋体" w:eastAsia="宋体" w:cs="宋体"/>
          <w:b/>
          <w:bCs/>
          <w:sz w:val="30"/>
          <w:szCs w:val="30"/>
        </w:rPr>
      </w:pPr>
    </w:p>
    <w:p w14:paraId="6BDB3A9E">
      <w:pPr>
        <w:jc w:val="center"/>
        <w:rPr>
          <w:rFonts w:ascii="宋体" w:hAnsi="宋体" w:eastAsia="宋体" w:cs="宋体"/>
          <w:b/>
          <w:bCs/>
          <w:sz w:val="30"/>
          <w:szCs w:val="30"/>
        </w:rPr>
      </w:pPr>
    </w:p>
    <w:p w14:paraId="2DF4B494">
      <w:pPr>
        <w:jc w:val="center"/>
        <w:rPr>
          <w:rFonts w:ascii="宋体" w:hAnsi="宋体" w:eastAsia="宋体" w:cs="宋体"/>
          <w:b/>
          <w:bCs/>
          <w:sz w:val="30"/>
          <w:szCs w:val="30"/>
        </w:rPr>
      </w:pPr>
    </w:p>
    <w:p w14:paraId="423211E3">
      <w:pPr>
        <w:jc w:val="center"/>
        <w:rPr>
          <w:rFonts w:ascii="宋体" w:hAnsi="宋体" w:eastAsia="宋体" w:cs="宋体"/>
          <w:b/>
          <w:bCs/>
          <w:sz w:val="30"/>
          <w:szCs w:val="30"/>
        </w:rPr>
      </w:pPr>
    </w:p>
    <w:p w14:paraId="50760AA4">
      <w:pPr>
        <w:jc w:val="center"/>
        <w:rPr>
          <w:rFonts w:ascii="宋体" w:hAnsi="宋体" w:eastAsia="宋体" w:cs="宋体"/>
          <w:b/>
          <w:bCs/>
          <w:sz w:val="30"/>
          <w:szCs w:val="30"/>
        </w:rPr>
      </w:pPr>
    </w:p>
    <w:p w14:paraId="2AF1D6F1">
      <w:pPr>
        <w:jc w:val="center"/>
        <w:rPr>
          <w:rFonts w:ascii="宋体" w:hAnsi="宋体" w:eastAsia="宋体" w:cs="宋体"/>
          <w:b/>
          <w:bCs/>
          <w:sz w:val="30"/>
          <w:szCs w:val="30"/>
        </w:rPr>
      </w:pPr>
    </w:p>
    <w:p w14:paraId="7B370F90">
      <w:pPr>
        <w:jc w:val="center"/>
        <w:rPr>
          <w:rFonts w:ascii="宋体" w:hAnsi="宋体" w:eastAsia="宋体" w:cs="宋体"/>
          <w:b/>
          <w:bCs/>
          <w:sz w:val="30"/>
          <w:szCs w:val="30"/>
        </w:rPr>
      </w:pPr>
    </w:p>
    <w:p w14:paraId="1655DB06">
      <w:pPr>
        <w:jc w:val="center"/>
        <w:rPr>
          <w:rFonts w:ascii="宋体" w:hAnsi="宋体" w:eastAsia="宋体" w:cs="宋体"/>
          <w:b/>
          <w:bCs/>
          <w:sz w:val="30"/>
          <w:szCs w:val="30"/>
        </w:rPr>
      </w:pPr>
    </w:p>
    <w:p w14:paraId="5AC31637">
      <w:pPr>
        <w:jc w:val="center"/>
        <w:rPr>
          <w:rFonts w:ascii="宋体" w:hAnsi="宋体" w:eastAsia="宋体" w:cs="宋体"/>
          <w:b/>
          <w:bCs/>
          <w:sz w:val="30"/>
          <w:szCs w:val="30"/>
        </w:rPr>
      </w:pPr>
    </w:p>
    <w:p w14:paraId="35E56FF6">
      <w:pPr>
        <w:jc w:val="center"/>
        <w:rPr>
          <w:rFonts w:ascii="宋体" w:hAnsi="宋体" w:eastAsia="宋体" w:cs="宋体"/>
          <w:b/>
          <w:bCs/>
          <w:sz w:val="30"/>
          <w:szCs w:val="30"/>
        </w:rPr>
      </w:pPr>
    </w:p>
    <w:p w14:paraId="2AD21B1A">
      <w:pPr>
        <w:jc w:val="center"/>
        <w:rPr>
          <w:rFonts w:ascii="宋体" w:hAnsi="宋体" w:eastAsia="宋体" w:cs="宋体"/>
          <w:b/>
          <w:bCs/>
          <w:sz w:val="30"/>
          <w:szCs w:val="30"/>
        </w:rPr>
      </w:pPr>
    </w:p>
    <w:p w14:paraId="4E781422">
      <w:pPr>
        <w:jc w:val="center"/>
        <w:rPr>
          <w:rFonts w:ascii="宋体" w:hAnsi="宋体" w:eastAsia="宋体" w:cs="宋体"/>
          <w:b/>
          <w:bCs/>
          <w:sz w:val="30"/>
          <w:szCs w:val="30"/>
        </w:rPr>
      </w:pPr>
      <w:r>
        <w:rPr>
          <w:rFonts w:hint="eastAsia" w:ascii="宋体" w:hAnsi="宋体" w:eastAsia="宋体" w:cs="宋体"/>
          <w:b/>
          <w:bCs/>
          <w:sz w:val="30"/>
          <w:szCs w:val="30"/>
        </w:rPr>
        <w:t>六</w:t>
      </w:r>
      <w:r>
        <w:rPr>
          <w:rFonts w:ascii="宋体" w:hAnsi="宋体" w:eastAsia="宋体" w:cs="宋体"/>
          <w:b/>
          <w:bCs/>
          <w:sz w:val="30"/>
          <w:szCs w:val="30"/>
        </w:rPr>
        <w:t>、法定代表人身份证明书</w:t>
      </w:r>
    </w:p>
    <w:p w14:paraId="45713097">
      <w:pPr>
        <w:jc w:val="center"/>
        <w:rPr>
          <w:rFonts w:ascii="宋体" w:hAnsi="宋体" w:eastAsia="宋体" w:cs="宋体"/>
          <w:b/>
          <w:bCs/>
          <w:sz w:val="30"/>
          <w:szCs w:val="30"/>
        </w:rPr>
      </w:pPr>
    </w:p>
    <w:p w14:paraId="79F18B4D">
      <w:pPr>
        <w:rPr>
          <w:rFonts w:ascii="宋体" w:hAnsi="宋体" w:eastAsia="宋体" w:cs="宋体"/>
          <w:sz w:val="30"/>
          <w:szCs w:val="30"/>
        </w:rPr>
      </w:pPr>
      <w:r>
        <w:rPr>
          <w:rFonts w:ascii="宋体" w:hAnsi="宋体" w:eastAsia="宋体" w:cs="宋体"/>
          <w:sz w:val="30"/>
          <w:szCs w:val="30"/>
        </w:rPr>
        <w:t>单位名称:</w:t>
      </w:r>
    </w:p>
    <w:p w14:paraId="292C8D6C">
      <w:pPr>
        <w:rPr>
          <w:rFonts w:ascii="宋体" w:hAnsi="宋体" w:eastAsia="宋体" w:cs="宋体"/>
          <w:sz w:val="30"/>
          <w:szCs w:val="30"/>
        </w:rPr>
      </w:pPr>
      <w:r>
        <w:rPr>
          <w:rFonts w:ascii="宋体" w:hAnsi="宋体" w:eastAsia="宋体" w:cs="宋体"/>
          <w:sz w:val="30"/>
          <w:szCs w:val="30"/>
        </w:rPr>
        <w:t>单位性质:</w:t>
      </w:r>
    </w:p>
    <w:p w14:paraId="6B95FB8D">
      <w:pPr>
        <w:rPr>
          <w:rFonts w:ascii="宋体" w:hAnsi="宋体" w:eastAsia="宋体" w:cs="宋体"/>
          <w:sz w:val="30"/>
          <w:szCs w:val="30"/>
        </w:rPr>
      </w:pPr>
      <w:r>
        <w:rPr>
          <w:rFonts w:ascii="宋体" w:hAnsi="宋体" w:eastAsia="宋体" w:cs="宋体"/>
          <w:sz w:val="30"/>
          <w:szCs w:val="30"/>
        </w:rPr>
        <w:t>地 址</w:t>
      </w:r>
      <w:r>
        <w:rPr>
          <w:rFonts w:hint="eastAsia" w:ascii="宋体" w:hAnsi="宋体" w:eastAsia="宋体" w:cs="宋体"/>
          <w:sz w:val="30"/>
          <w:szCs w:val="30"/>
        </w:rPr>
        <w:t>：</w:t>
      </w:r>
    </w:p>
    <w:p w14:paraId="4C99AC4B">
      <w:pPr>
        <w:rPr>
          <w:rFonts w:ascii="宋体" w:hAnsi="宋体" w:eastAsia="宋体" w:cs="宋体"/>
          <w:sz w:val="30"/>
          <w:szCs w:val="30"/>
        </w:rPr>
      </w:pPr>
      <w:r>
        <w:rPr>
          <w:rFonts w:ascii="宋体" w:hAnsi="宋体" w:eastAsia="宋体" w:cs="宋体"/>
          <w:sz w:val="30"/>
          <w:szCs w:val="30"/>
        </w:rPr>
        <w:t>成立时间</w:t>
      </w:r>
      <w:r>
        <w:rPr>
          <w:rFonts w:hint="eastAsia" w:ascii="宋体" w:hAnsi="宋体" w:eastAsia="宋体" w:cs="宋体"/>
          <w:sz w:val="30"/>
          <w:szCs w:val="30"/>
        </w:rPr>
        <w:t>：</w:t>
      </w:r>
    </w:p>
    <w:p w14:paraId="4B11AA2F">
      <w:pPr>
        <w:rPr>
          <w:rFonts w:ascii="宋体" w:hAnsi="宋体" w:eastAsia="宋体" w:cs="宋体"/>
          <w:sz w:val="30"/>
          <w:szCs w:val="30"/>
        </w:rPr>
      </w:pPr>
      <w:r>
        <w:rPr>
          <w:rFonts w:ascii="宋体" w:hAnsi="宋体" w:eastAsia="宋体" w:cs="宋体"/>
          <w:sz w:val="30"/>
          <w:szCs w:val="30"/>
        </w:rPr>
        <w:t>经营期限</w:t>
      </w:r>
      <w:r>
        <w:rPr>
          <w:rFonts w:hint="eastAsia" w:ascii="宋体" w:hAnsi="宋体" w:eastAsia="宋体" w:cs="宋体"/>
          <w:sz w:val="30"/>
          <w:szCs w:val="30"/>
        </w:rPr>
        <w:t>：</w:t>
      </w:r>
    </w:p>
    <w:p w14:paraId="1E98F46D">
      <w:pPr>
        <w:rPr>
          <w:rFonts w:ascii="宋体" w:hAnsi="宋体" w:eastAsia="宋体" w:cs="宋体"/>
          <w:sz w:val="30"/>
          <w:szCs w:val="30"/>
        </w:rPr>
      </w:pPr>
      <w:r>
        <w:rPr>
          <w:rFonts w:hint="eastAsia" w:ascii="宋体" w:hAnsi="宋体" w:eastAsia="宋体" w:cs="宋体"/>
          <w:sz w:val="30"/>
          <w:szCs w:val="30"/>
        </w:rPr>
        <w:t>姓</w:t>
      </w:r>
      <w:r>
        <w:rPr>
          <w:rFonts w:ascii="宋体" w:hAnsi="宋体" w:eastAsia="宋体" w:cs="宋体"/>
          <w:sz w:val="30"/>
          <w:szCs w:val="30"/>
        </w:rPr>
        <w:t>名</w:t>
      </w:r>
      <w:r>
        <w:rPr>
          <w:rFonts w:hint="eastAsia" w:ascii="宋体" w:hAnsi="宋体" w:eastAsia="宋体" w:cs="宋体"/>
          <w:sz w:val="30"/>
          <w:szCs w:val="30"/>
        </w:rPr>
        <w:t xml:space="preserve">：  </w:t>
      </w:r>
      <w:r>
        <w:rPr>
          <w:rFonts w:ascii="宋体" w:hAnsi="宋体" w:eastAsia="宋体" w:cs="宋体"/>
          <w:sz w:val="30"/>
          <w:szCs w:val="30"/>
        </w:rPr>
        <w:t>性别</w:t>
      </w:r>
      <w:r>
        <w:rPr>
          <w:rFonts w:hint="eastAsia" w:ascii="宋体" w:hAnsi="宋体" w:eastAsia="宋体" w:cs="宋体"/>
          <w:sz w:val="30"/>
          <w:szCs w:val="30"/>
        </w:rPr>
        <w:t xml:space="preserve">：  </w:t>
      </w:r>
      <w:r>
        <w:rPr>
          <w:rFonts w:ascii="宋体" w:hAnsi="宋体" w:eastAsia="宋体" w:cs="宋体"/>
          <w:sz w:val="30"/>
          <w:szCs w:val="30"/>
        </w:rPr>
        <w:t>年龄</w:t>
      </w:r>
      <w:r>
        <w:rPr>
          <w:rFonts w:hint="eastAsia" w:ascii="宋体" w:hAnsi="宋体" w:eastAsia="宋体" w:cs="宋体"/>
          <w:sz w:val="30"/>
          <w:szCs w:val="30"/>
        </w:rPr>
        <w:t xml:space="preserve">：  </w:t>
      </w:r>
      <w:r>
        <w:rPr>
          <w:rFonts w:ascii="宋体" w:hAnsi="宋体" w:eastAsia="宋体" w:cs="宋体"/>
          <w:sz w:val="30"/>
          <w:szCs w:val="30"/>
        </w:rPr>
        <w:t>职务</w:t>
      </w:r>
      <w:r>
        <w:rPr>
          <w:rFonts w:hint="eastAsia" w:ascii="宋体" w:hAnsi="宋体" w:eastAsia="宋体" w:cs="宋体"/>
          <w:sz w:val="30"/>
          <w:szCs w:val="30"/>
        </w:rPr>
        <w:t>：   系</w:t>
      </w:r>
      <w:r>
        <w:rPr>
          <w:rFonts w:ascii="宋体" w:hAnsi="宋体" w:eastAsia="宋体" w:cs="宋体"/>
          <w:sz w:val="30"/>
          <w:szCs w:val="30"/>
        </w:rPr>
        <w:t>我</w:t>
      </w:r>
      <w:r>
        <w:rPr>
          <w:rFonts w:hint="eastAsia" w:ascii="宋体" w:hAnsi="宋体" w:eastAsia="宋体" w:cs="宋体"/>
          <w:sz w:val="30"/>
          <w:szCs w:val="30"/>
        </w:rPr>
        <w:t>单位</w:t>
      </w:r>
      <w:r>
        <w:rPr>
          <w:rFonts w:ascii="宋体" w:hAnsi="宋体" w:eastAsia="宋体" w:cs="宋体"/>
          <w:sz w:val="30"/>
          <w:szCs w:val="30"/>
        </w:rPr>
        <w:t>法定代表人。(</w:t>
      </w:r>
      <w:r>
        <w:rPr>
          <w:rFonts w:hint="eastAsia" w:ascii="宋体" w:hAnsi="宋体" w:eastAsia="宋体" w:cs="宋体"/>
          <w:sz w:val="30"/>
          <w:szCs w:val="30"/>
        </w:rPr>
        <w:t>投标单位</w:t>
      </w:r>
      <w:r>
        <w:rPr>
          <w:rFonts w:ascii="宋体" w:hAnsi="宋体" w:eastAsia="宋体" w:cs="宋体"/>
          <w:sz w:val="30"/>
          <w:szCs w:val="30"/>
        </w:rPr>
        <w:t>单位名称)</w:t>
      </w:r>
    </w:p>
    <w:p w14:paraId="36759674">
      <w:pPr>
        <w:rPr>
          <w:rFonts w:ascii="宋体" w:hAnsi="宋体" w:eastAsia="宋体" w:cs="宋体"/>
          <w:sz w:val="30"/>
          <w:szCs w:val="30"/>
        </w:rPr>
      </w:pPr>
      <w:r>
        <w:rPr>
          <w:rFonts w:ascii="宋体" w:hAnsi="宋体" w:eastAsia="宋体" w:cs="宋体"/>
          <w:sz w:val="30"/>
          <w:szCs w:val="30"/>
        </w:rPr>
        <w:t>特此证明。</w:t>
      </w:r>
    </w:p>
    <w:p w14:paraId="24B9D855">
      <w:pPr>
        <w:rPr>
          <w:rFonts w:ascii="宋体" w:hAnsi="宋体" w:eastAsia="宋体" w:cs="宋体"/>
          <w:sz w:val="30"/>
          <w:szCs w:val="30"/>
        </w:rPr>
      </w:pPr>
      <w:r>
        <w:rPr>
          <w:rFonts w:hint="eastAsia" w:ascii="宋体" w:hAnsi="宋体" w:eastAsia="宋体" w:cs="宋体"/>
          <w:sz w:val="30"/>
          <w:szCs w:val="30"/>
        </w:rPr>
        <w:t>投标单位</w:t>
      </w:r>
      <w:r>
        <w:rPr>
          <w:rFonts w:ascii="宋体" w:hAnsi="宋体" w:eastAsia="宋体" w:cs="宋体"/>
          <w:sz w:val="30"/>
          <w:szCs w:val="30"/>
        </w:rPr>
        <w:t>签章:</w:t>
      </w:r>
    </w:p>
    <w:p w14:paraId="49BBB590">
      <w:pPr>
        <w:rPr>
          <w:rFonts w:ascii="宋体" w:hAnsi="宋体" w:eastAsia="宋体" w:cs="宋体"/>
          <w:sz w:val="30"/>
          <w:szCs w:val="30"/>
        </w:rPr>
      </w:pPr>
      <w:r>
        <w:rPr>
          <w:rFonts w:hint="eastAsia" w:ascii="宋体" w:hAnsi="宋体" w:eastAsia="宋体" w:cs="宋体"/>
          <w:sz w:val="30"/>
          <w:szCs w:val="30"/>
        </w:rPr>
        <w:t>日</w:t>
      </w:r>
      <w:r>
        <w:rPr>
          <w:rFonts w:ascii="宋体" w:hAnsi="宋体" w:eastAsia="宋体" w:cs="宋体"/>
          <w:sz w:val="30"/>
          <w:szCs w:val="30"/>
        </w:rPr>
        <w:t>期:</w:t>
      </w:r>
    </w:p>
    <w:p w14:paraId="7F0783C4">
      <w:pPr>
        <w:rPr>
          <w:rFonts w:ascii="宋体" w:hAnsi="宋体" w:eastAsia="宋体" w:cs="宋体"/>
          <w:sz w:val="30"/>
          <w:szCs w:val="30"/>
        </w:rPr>
      </w:pPr>
    </w:p>
    <w:p w14:paraId="200EF610">
      <w:pPr>
        <w:jc w:val="center"/>
        <w:rPr>
          <w:rFonts w:ascii="宋体" w:hAnsi="宋体" w:eastAsia="宋体" w:cs="宋体"/>
          <w:b/>
          <w:bCs/>
          <w:sz w:val="30"/>
          <w:szCs w:val="30"/>
        </w:rPr>
      </w:pPr>
    </w:p>
    <w:p w14:paraId="0EA5DE08">
      <w:pPr>
        <w:jc w:val="center"/>
        <w:rPr>
          <w:rFonts w:ascii="宋体" w:hAnsi="宋体" w:eastAsia="宋体" w:cs="宋体"/>
          <w:b/>
          <w:bCs/>
          <w:sz w:val="30"/>
          <w:szCs w:val="30"/>
        </w:rPr>
      </w:pPr>
    </w:p>
    <w:p w14:paraId="732E2B51">
      <w:pPr>
        <w:jc w:val="center"/>
        <w:rPr>
          <w:rFonts w:ascii="宋体" w:hAnsi="宋体" w:eastAsia="宋体" w:cs="宋体"/>
          <w:b/>
          <w:bCs/>
          <w:sz w:val="30"/>
          <w:szCs w:val="30"/>
        </w:rPr>
      </w:pPr>
    </w:p>
    <w:p w14:paraId="1E543CEE">
      <w:pPr>
        <w:jc w:val="center"/>
        <w:rPr>
          <w:rFonts w:ascii="宋体" w:hAnsi="宋体" w:eastAsia="宋体" w:cs="宋体"/>
          <w:b/>
          <w:bCs/>
          <w:sz w:val="30"/>
          <w:szCs w:val="30"/>
        </w:rPr>
      </w:pPr>
    </w:p>
    <w:p w14:paraId="7A2BDE12">
      <w:pPr>
        <w:jc w:val="center"/>
        <w:rPr>
          <w:rFonts w:ascii="宋体" w:hAnsi="宋体" w:eastAsia="宋体" w:cs="宋体"/>
          <w:b/>
          <w:bCs/>
          <w:sz w:val="30"/>
          <w:szCs w:val="30"/>
        </w:rPr>
      </w:pPr>
    </w:p>
    <w:p w14:paraId="038A2AD5">
      <w:pPr>
        <w:jc w:val="center"/>
        <w:rPr>
          <w:rFonts w:ascii="宋体" w:hAnsi="宋体" w:eastAsia="宋体" w:cs="宋体"/>
          <w:b/>
          <w:bCs/>
          <w:sz w:val="30"/>
          <w:szCs w:val="30"/>
        </w:rPr>
      </w:pPr>
    </w:p>
    <w:p w14:paraId="678FBC85">
      <w:pPr>
        <w:jc w:val="center"/>
        <w:rPr>
          <w:rFonts w:ascii="宋体" w:hAnsi="宋体" w:eastAsia="宋体" w:cs="宋体"/>
          <w:b/>
          <w:bCs/>
          <w:sz w:val="30"/>
          <w:szCs w:val="30"/>
        </w:rPr>
      </w:pPr>
    </w:p>
    <w:p w14:paraId="6D358475">
      <w:pPr>
        <w:jc w:val="center"/>
        <w:rPr>
          <w:rFonts w:ascii="宋体" w:hAnsi="宋体" w:eastAsia="宋体" w:cs="宋体"/>
          <w:b/>
          <w:bCs/>
          <w:sz w:val="30"/>
          <w:szCs w:val="30"/>
        </w:rPr>
      </w:pPr>
    </w:p>
    <w:p w14:paraId="0F65FFEE">
      <w:pPr>
        <w:jc w:val="center"/>
        <w:rPr>
          <w:rFonts w:ascii="宋体" w:hAnsi="宋体" w:eastAsia="宋体" w:cs="宋体"/>
          <w:b/>
          <w:bCs/>
          <w:sz w:val="30"/>
          <w:szCs w:val="30"/>
        </w:rPr>
      </w:pPr>
    </w:p>
    <w:p w14:paraId="1EC834D6">
      <w:pPr>
        <w:jc w:val="center"/>
        <w:rPr>
          <w:rFonts w:ascii="宋体" w:hAnsi="宋体" w:eastAsia="宋体" w:cs="宋体"/>
          <w:b/>
          <w:bCs/>
          <w:sz w:val="30"/>
          <w:szCs w:val="30"/>
        </w:rPr>
      </w:pPr>
      <w:r>
        <w:rPr>
          <w:rFonts w:hint="eastAsia" w:ascii="宋体" w:hAnsi="宋体" w:eastAsia="宋体" w:cs="宋体"/>
          <w:b/>
          <w:bCs/>
          <w:sz w:val="30"/>
          <w:szCs w:val="30"/>
        </w:rPr>
        <w:t>七、</w:t>
      </w:r>
      <w:r>
        <w:rPr>
          <w:rFonts w:ascii="宋体" w:hAnsi="宋体" w:eastAsia="宋体" w:cs="宋体"/>
          <w:b/>
          <w:bCs/>
          <w:sz w:val="30"/>
          <w:szCs w:val="30"/>
        </w:rPr>
        <w:t>其他材料(如有)</w:t>
      </w:r>
    </w:p>
    <w:p w14:paraId="63479708">
      <w:pPr>
        <w:rPr>
          <w:rFonts w:ascii="宋体" w:hAnsi="宋体" w:eastAsia="宋体" w:cs="宋体"/>
          <w:sz w:val="30"/>
          <w:szCs w:val="30"/>
        </w:rPr>
      </w:pPr>
    </w:p>
    <w:p w14:paraId="2E0DA7D1">
      <w:pPr>
        <w:rPr>
          <w:rFonts w:ascii="宋体" w:hAnsi="宋体" w:eastAsia="宋体" w:cs="宋体"/>
          <w:sz w:val="30"/>
          <w:szCs w:val="30"/>
        </w:rPr>
      </w:pPr>
    </w:p>
    <w:p w14:paraId="2176E629">
      <w:pPr>
        <w:rPr>
          <w:rFonts w:ascii="宋体" w:hAnsi="宋体" w:eastAsia="宋体" w:cs="宋体"/>
          <w:sz w:val="30"/>
          <w:szCs w:val="30"/>
        </w:rPr>
      </w:pPr>
    </w:p>
    <w:p w14:paraId="13A3A19C">
      <w:pPr>
        <w:rPr>
          <w:rFonts w:ascii="宋体" w:hAnsi="宋体" w:eastAsia="宋体" w:cs="宋体"/>
          <w:sz w:val="30"/>
          <w:szCs w:val="30"/>
        </w:rPr>
      </w:pPr>
    </w:p>
    <w:p w14:paraId="5D42D127">
      <w:pPr>
        <w:rPr>
          <w:rFonts w:ascii="宋体" w:hAnsi="宋体" w:eastAsia="宋体" w:cs="宋体"/>
          <w:sz w:val="30"/>
          <w:szCs w:val="30"/>
        </w:rPr>
      </w:pPr>
    </w:p>
    <w:p w14:paraId="37BA7526">
      <w:pPr>
        <w:rPr>
          <w:rFonts w:ascii="宋体" w:hAnsi="宋体" w:eastAsia="宋体" w:cs="宋体"/>
          <w:sz w:val="30"/>
          <w:szCs w:val="30"/>
        </w:rPr>
      </w:pPr>
    </w:p>
    <w:p w14:paraId="30A0D42E">
      <w:pPr>
        <w:rPr>
          <w:rFonts w:ascii="宋体" w:hAnsi="宋体" w:eastAsia="宋体" w:cs="宋体"/>
          <w:sz w:val="30"/>
          <w:szCs w:val="30"/>
        </w:rPr>
      </w:pPr>
    </w:p>
    <w:p w14:paraId="51862ACA">
      <w:pPr>
        <w:rPr>
          <w:rFonts w:ascii="宋体" w:hAnsi="宋体" w:eastAsia="宋体" w:cs="宋体"/>
          <w:sz w:val="30"/>
          <w:szCs w:val="30"/>
        </w:rPr>
      </w:pPr>
    </w:p>
    <w:p w14:paraId="5310F920">
      <w:pPr>
        <w:rPr>
          <w:rFonts w:ascii="宋体" w:hAnsi="宋体" w:eastAsia="宋体" w:cs="宋体"/>
          <w:sz w:val="30"/>
          <w:szCs w:val="30"/>
        </w:rPr>
      </w:pPr>
    </w:p>
    <w:p w14:paraId="74801F06">
      <w:pPr>
        <w:rPr>
          <w:rFonts w:ascii="宋体" w:hAnsi="宋体" w:eastAsia="宋体" w:cs="宋体"/>
          <w:sz w:val="30"/>
          <w:szCs w:val="30"/>
        </w:rPr>
      </w:pPr>
    </w:p>
    <w:p w14:paraId="146F0BBF">
      <w:pPr>
        <w:rPr>
          <w:rFonts w:ascii="宋体" w:hAnsi="宋体" w:eastAsia="宋体" w:cs="宋体"/>
          <w:sz w:val="30"/>
          <w:szCs w:val="30"/>
        </w:rPr>
      </w:pPr>
    </w:p>
    <w:p w14:paraId="6A8D8281">
      <w:pPr>
        <w:rPr>
          <w:rFonts w:ascii="宋体" w:hAnsi="宋体" w:eastAsia="宋体" w:cs="宋体"/>
          <w:sz w:val="30"/>
          <w:szCs w:val="30"/>
        </w:rPr>
      </w:pPr>
    </w:p>
    <w:p w14:paraId="13EC042B">
      <w:pPr>
        <w:rPr>
          <w:rFonts w:ascii="宋体" w:hAnsi="宋体" w:eastAsia="宋体" w:cs="宋体"/>
          <w:sz w:val="30"/>
          <w:szCs w:val="30"/>
        </w:rPr>
      </w:pPr>
    </w:p>
    <w:p w14:paraId="33060F61">
      <w:pPr>
        <w:rPr>
          <w:rFonts w:ascii="宋体" w:hAnsi="宋体" w:eastAsia="宋体" w:cs="宋体"/>
          <w:sz w:val="30"/>
          <w:szCs w:val="30"/>
        </w:rPr>
      </w:pPr>
    </w:p>
    <w:p w14:paraId="2D6F2E86">
      <w:pPr>
        <w:rPr>
          <w:rFonts w:ascii="宋体" w:hAnsi="宋体" w:eastAsia="宋体" w:cs="宋体"/>
          <w:sz w:val="30"/>
          <w:szCs w:val="30"/>
        </w:rPr>
      </w:pPr>
    </w:p>
    <w:p w14:paraId="42449B96">
      <w:pPr>
        <w:rPr>
          <w:rFonts w:ascii="宋体" w:hAnsi="宋体" w:eastAsia="宋体" w:cs="宋体"/>
          <w:sz w:val="30"/>
          <w:szCs w:val="30"/>
        </w:rPr>
      </w:pPr>
    </w:p>
    <w:p w14:paraId="7FB57E29">
      <w:pPr>
        <w:rPr>
          <w:rFonts w:ascii="宋体" w:hAnsi="宋体" w:eastAsia="宋体" w:cs="宋体"/>
          <w:sz w:val="30"/>
          <w:szCs w:val="30"/>
        </w:rPr>
      </w:pPr>
    </w:p>
    <w:p w14:paraId="08433639">
      <w:pPr>
        <w:rPr>
          <w:rFonts w:ascii="宋体" w:hAnsi="宋体" w:eastAsia="宋体" w:cs="宋体"/>
          <w:sz w:val="30"/>
          <w:szCs w:val="30"/>
        </w:rPr>
      </w:pPr>
    </w:p>
    <w:p w14:paraId="7E1A2026">
      <w:pPr>
        <w:rPr>
          <w:rFonts w:ascii="宋体" w:hAnsi="宋体" w:eastAsia="宋体" w:cs="宋体"/>
          <w:sz w:val="30"/>
          <w:szCs w:val="30"/>
        </w:rPr>
      </w:pPr>
    </w:p>
    <w:p w14:paraId="7620C16C">
      <w:pPr>
        <w:rPr>
          <w:rFonts w:ascii="宋体" w:hAnsi="宋体" w:eastAsia="宋体" w:cs="宋体"/>
          <w:sz w:val="30"/>
          <w:szCs w:val="30"/>
        </w:rPr>
      </w:pPr>
    </w:p>
    <w:p w14:paraId="0912EC8F">
      <w:pPr>
        <w:rPr>
          <w:rFonts w:ascii="宋体" w:hAnsi="宋体" w:eastAsia="宋体" w:cs="宋体"/>
          <w:sz w:val="30"/>
          <w:szCs w:val="30"/>
        </w:rPr>
      </w:pPr>
    </w:p>
    <w:p w14:paraId="6D3EFF2E">
      <w:pPr>
        <w:jc w:val="left"/>
        <w:rPr>
          <w:rFonts w:ascii="宋体" w:hAnsi="宋体" w:cs="仿宋"/>
          <w:sz w:val="24"/>
          <w:szCs w:val="32"/>
        </w:rPr>
      </w:pPr>
      <w:r>
        <w:rPr>
          <w:rFonts w:hint="eastAsia" w:ascii="宋体" w:hAnsi="宋体" w:cs="仿宋"/>
          <w:sz w:val="24"/>
          <w:szCs w:val="32"/>
        </w:rPr>
        <w:t>附件：</w:t>
      </w:r>
    </w:p>
    <w:p w14:paraId="2D8EA547">
      <w:pPr>
        <w:jc w:val="left"/>
        <w:rPr>
          <w:rFonts w:ascii="宋体" w:hAnsi="宋体" w:cs="仿宋"/>
          <w:sz w:val="24"/>
          <w:szCs w:val="32"/>
        </w:rPr>
      </w:pPr>
    </w:p>
    <w:p w14:paraId="76CD82C5">
      <w:pPr>
        <w:jc w:val="center"/>
        <w:rPr>
          <w:rFonts w:ascii="宋体" w:hAnsi="宋体" w:cs="仿宋"/>
          <w:b/>
          <w:sz w:val="64"/>
          <w:szCs w:val="32"/>
        </w:rPr>
      </w:pPr>
      <w:r>
        <w:rPr>
          <w:rFonts w:hint="eastAsia" w:ascii="宋体" w:hAnsi="宋体" w:cs="仿宋"/>
          <w:b/>
          <w:sz w:val="64"/>
          <w:szCs w:val="32"/>
        </w:rPr>
        <w:t>园林绿化养护管理考核、评分</w:t>
      </w:r>
    </w:p>
    <w:p w14:paraId="5C6FE600">
      <w:pPr>
        <w:jc w:val="center"/>
        <w:rPr>
          <w:rFonts w:ascii="宋体" w:hAnsi="宋体" w:cs="仿宋"/>
          <w:b/>
          <w:sz w:val="64"/>
          <w:szCs w:val="32"/>
        </w:rPr>
      </w:pPr>
      <w:r>
        <w:rPr>
          <w:rFonts w:hint="eastAsia" w:ascii="宋体" w:hAnsi="宋体" w:cs="仿宋"/>
          <w:b/>
          <w:sz w:val="64"/>
          <w:szCs w:val="32"/>
        </w:rPr>
        <w:t>标准及处罚细则</w:t>
      </w:r>
    </w:p>
    <w:p w14:paraId="63C424ED">
      <w:pPr>
        <w:jc w:val="center"/>
        <w:rPr>
          <w:rFonts w:ascii="宋体" w:hAnsi="宋体" w:cs="仿宋"/>
          <w:b/>
          <w:sz w:val="64"/>
          <w:szCs w:val="32"/>
        </w:rPr>
      </w:pPr>
    </w:p>
    <w:p w14:paraId="3D262020">
      <w:pPr>
        <w:jc w:val="center"/>
        <w:rPr>
          <w:rFonts w:ascii="宋体" w:hAnsi="宋体" w:cs="仿宋"/>
          <w:b/>
          <w:sz w:val="64"/>
          <w:szCs w:val="32"/>
        </w:rPr>
      </w:pPr>
    </w:p>
    <w:p w14:paraId="4EE7F1D0">
      <w:pPr>
        <w:jc w:val="center"/>
        <w:rPr>
          <w:rFonts w:ascii="宋体" w:hAnsi="宋体" w:cs="仿宋"/>
          <w:b/>
          <w:sz w:val="64"/>
          <w:szCs w:val="32"/>
        </w:rPr>
      </w:pPr>
    </w:p>
    <w:p w14:paraId="520E3968">
      <w:pPr>
        <w:jc w:val="center"/>
        <w:rPr>
          <w:rFonts w:ascii="宋体" w:hAnsi="宋体" w:cs="仿宋"/>
          <w:b/>
          <w:sz w:val="64"/>
          <w:szCs w:val="32"/>
        </w:rPr>
      </w:pPr>
    </w:p>
    <w:p w14:paraId="74A75507">
      <w:pPr>
        <w:jc w:val="center"/>
        <w:rPr>
          <w:rFonts w:ascii="宋体" w:hAnsi="宋体" w:cs="仿宋"/>
          <w:b/>
          <w:sz w:val="64"/>
          <w:szCs w:val="32"/>
        </w:rPr>
      </w:pPr>
    </w:p>
    <w:p w14:paraId="1551CAA0">
      <w:pPr>
        <w:jc w:val="center"/>
        <w:rPr>
          <w:rFonts w:ascii="宋体" w:hAnsi="宋体" w:cs="仿宋"/>
          <w:b/>
          <w:sz w:val="64"/>
          <w:szCs w:val="32"/>
        </w:rPr>
      </w:pPr>
    </w:p>
    <w:p w14:paraId="3214DC45">
      <w:pPr>
        <w:jc w:val="center"/>
        <w:rPr>
          <w:rFonts w:ascii="宋体" w:hAnsi="宋体" w:cs="仿宋"/>
          <w:b/>
          <w:sz w:val="64"/>
          <w:szCs w:val="32"/>
        </w:rPr>
      </w:pPr>
    </w:p>
    <w:p w14:paraId="2FB32300">
      <w:pPr>
        <w:jc w:val="center"/>
        <w:rPr>
          <w:rFonts w:ascii="宋体" w:hAnsi="宋体" w:cs="仿宋"/>
          <w:b/>
          <w:sz w:val="64"/>
          <w:szCs w:val="32"/>
        </w:rPr>
      </w:pPr>
    </w:p>
    <w:p w14:paraId="38A55BC3">
      <w:pPr>
        <w:jc w:val="center"/>
        <w:rPr>
          <w:rFonts w:ascii="宋体" w:hAnsi="宋体" w:cs="仿宋"/>
          <w:b/>
          <w:sz w:val="44"/>
          <w:szCs w:val="32"/>
        </w:rPr>
      </w:pPr>
      <w:r>
        <w:rPr>
          <w:rFonts w:hint="eastAsia" w:ascii="宋体" w:hAnsi="宋体" w:cs="仿宋"/>
          <w:b/>
          <w:sz w:val="44"/>
          <w:szCs w:val="32"/>
        </w:rPr>
        <w:t>桐城市天正园林绿化工程有限公司</w:t>
      </w:r>
    </w:p>
    <w:p w14:paraId="1167900D">
      <w:pPr>
        <w:jc w:val="center"/>
        <w:rPr>
          <w:rFonts w:ascii="宋体" w:hAnsi="宋体" w:cs="仿宋"/>
          <w:b/>
          <w:sz w:val="36"/>
          <w:szCs w:val="32"/>
        </w:rPr>
      </w:pPr>
    </w:p>
    <w:p w14:paraId="0B62EA5C">
      <w:pPr>
        <w:jc w:val="center"/>
        <w:rPr>
          <w:rFonts w:ascii="宋体" w:hAnsi="宋体" w:cs="仿宋"/>
          <w:b/>
          <w:sz w:val="36"/>
          <w:szCs w:val="32"/>
        </w:rPr>
      </w:pPr>
    </w:p>
    <w:p w14:paraId="76FA3223">
      <w:pPr>
        <w:jc w:val="center"/>
        <w:rPr>
          <w:rFonts w:ascii="宋体" w:hAnsi="宋体" w:cs="仿宋"/>
          <w:b/>
          <w:sz w:val="36"/>
          <w:szCs w:val="32"/>
        </w:rPr>
      </w:pPr>
    </w:p>
    <w:p w14:paraId="3EFA6FA1">
      <w:pPr>
        <w:spacing w:line="500" w:lineRule="exact"/>
        <w:jc w:val="center"/>
        <w:rPr>
          <w:rFonts w:ascii="宋体" w:hAnsi="宋体" w:cs="仿宋"/>
          <w:b/>
          <w:sz w:val="36"/>
          <w:szCs w:val="32"/>
        </w:rPr>
      </w:pPr>
    </w:p>
    <w:p w14:paraId="43FEE6E2">
      <w:pPr>
        <w:spacing w:line="500" w:lineRule="exact"/>
        <w:jc w:val="center"/>
        <w:rPr>
          <w:rFonts w:ascii="宋体" w:hAnsi="宋体" w:cs="仿宋"/>
          <w:b/>
          <w:sz w:val="36"/>
          <w:szCs w:val="32"/>
        </w:rPr>
      </w:pPr>
    </w:p>
    <w:p w14:paraId="7B7AAB50">
      <w:pPr>
        <w:spacing w:line="520" w:lineRule="exact"/>
        <w:jc w:val="center"/>
        <w:rPr>
          <w:rFonts w:ascii="宋体" w:hAnsi="宋体" w:cs="仿宋"/>
          <w:b/>
          <w:sz w:val="36"/>
          <w:szCs w:val="32"/>
        </w:rPr>
      </w:pPr>
      <w:r>
        <w:rPr>
          <w:rFonts w:hint="eastAsia" w:ascii="宋体" w:hAnsi="宋体" w:cs="仿宋"/>
          <w:b/>
          <w:sz w:val="36"/>
          <w:szCs w:val="32"/>
        </w:rPr>
        <w:t>园林绿化养护管理考核、评分</w:t>
      </w:r>
    </w:p>
    <w:p w14:paraId="7C938414">
      <w:pPr>
        <w:spacing w:line="520" w:lineRule="exact"/>
        <w:jc w:val="center"/>
        <w:rPr>
          <w:rFonts w:ascii="宋体" w:hAnsi="宋体" w:cs="仿宋"/>
          <w:b/>
          <w:sz w:val="36"/>
          <w:szCs w:val="32"/>
        </w:rPr>
      </w:pPr>
      <w:r>
        <w:rPr>
          <w:rFonts w:hint="eastAsia" w:ascii="宋体" w:hAnsi="宋体" w:cs="仿宋"/>
          <w:b/>
          <w:sz w:val="36"/>
          <w:szCs w:val="32"/>
        </w:rPr>
        <w:t>标准及处罚细则</w:t>
      </w:r>
    </w:p>
    <w:p w14:paraId="0B196B69">
      <w:pPr>
        <w:spacing w:line="520" w:lineRule="exact"/>
        <w:jc w:val="center"/>
        <w:rPr>
          <w:rFonts w:ascii="宋体" w:hAnsi="宋体" w:cs="仿宋"/>
          <w:b/>
          <w:sz w:val="36"/>
          <w:szCs w:val="32"/>
        </w:rPr>
      </w:pPr>
    </w:p>
    <w:p w14:paraId="55DBCF14">
      <w:pPr>
        <w:spacing w:line="520" w:lineRule="exact"/>
        <w:ind w:firstLine="560" w:firstLineChars="200"/>
        <w:rPr>
          <w:rFonts w:ascii="宋体" w:hAnsi="宋体" w:cs="仿宋"/>
          <w:sz w:val="28"/>
          <w:szCs w:val="28"/>
        </w:rPr>
      </w:pPr>
      <w:r>
        <w:rPr>
          <w:rFonts w:hint="eastAsia" w:ascii="仿宋" w:hAnsi="仿宋" w:eastAsia="仿宋" w:cs="仿宋"/>
          <w:sz w:val="28"/>
          <w:szCs w:val="28"/>
        </w:rPr>
        <w:t>为</w:t>
      </w:r>
      <w:r>
        <w:rPr>
          <w:rFonts w:hint="eastAsia" w:ascii="宋体" w:hAnsi="宋体" w:cs="仿宋"/>
          <w:sz w:val="28"/>
          <w:szCs w:val="28"/>
        </w:rPr>
        <w:t>确保我公司园林绿地的养护水平，全面提高绿地养护质量，实现绿地养护长效管理机制，设定本评分标准。</w:t>
      </w:r>
    </w:p>
    <w:p w14:paraId="24B66892">
      <w:pPr>
        <w:spacing w:line="520" w:lineRule="exact"/>
        <w:rPr>
          <w:rFonts w:ascii="宋体" w:hAnsi="宋体" w:cs="仿宋"/>
          <w:b/>
          <w:sz w:val="28"/>
          <w:szCs w:val="28"/>
        </w:rPr>
      </w:pPr>
      <w:r>
        <w:rPr>
          <w:rFonts w:hint="eastAsia" w:ascii="宋体" w:hAnsi="宋体" w:cs="仿宋"/>
          <w:b/>
          <w:sz w:val="28"/>
          <w:szCs w:val="28"/>
        </w:rPr>
        <w:t>一、考核管理机构及考核方式</w:t>
      </w:r>
    </w:p>
    <w:p w14:paraId="3FECE1D8">
      <w:pPr>
        <w:spacing w:line="520" w:lineRule="exact"/>
        <w:ind w:firstLine="560" w:firstLineChars="200"/>
        <w:rPr>
          <w:rFonts w:ascii="宋体" w:hAnsi="宋体" w:cs="仿宋"/>
          <w:sz w:val="28"/>
          <w:szCs w:val="28"/>
        </w:rPr>
      </w:pPr>
      <w:r>
        <w:rPr>
          <w:rFonts w:hint="eastAsia" w:ascii="宋体" w:hAnsi="宋体" w:cs="仿宋"/>
          <w:sz w:val="28"/>
          <w:szCs w:val="28"/>
        </w:rPr>
        <w:t>桐城市天正园林绿化工程有限公司负责绿地养护的日常检查，季度考核、年度汇总的工作。日常检查是指对各责任养护管理绿地进行日常全面巡查，季度考核是指按季度对各责任养护管理绿地全面检查，并对照管养标准进行考核评分，年汇总是指对季度考核的总结，对有无生产安全的整体概述，并上报。</w:t>
      </w:r>
    </w:p>
    <w:p w14:paraId="2A673798">
      <w:pPr>
        <w:spacing w:line="520" w:lineRule="exact"/>
        <w:rPr>
          <w:rFonts w:ascii="宋体" w:hAnsi="宋体" w:cs="仿宋"/>
          <w:sz w:val="28"/>
          <w:szCs w:val="28"/>
        </w:rPr>
      </w:pPr>
      <w:r>
        <w:rPr>
          <w:rFonts w:hint="eastAsia" w:ascii="宋体" w:hAnsi="宋体" w:cs="仿宋"/>
          <w:sz w:val="28"/>
          <w:szCs w:val="28"/>
        </w:rPr>
        <w:t>检查考核惩治程序</w:t>
      </w:r>
    </w:p>
    <w:p w14:paraId="25E8796C">
      <w:pPr>
        <w:spacing w:line="520" w:lineRule="exact"/>
        <w:ind w:firstLine="562" w:firstLineChars="200"/>
        <w:rPr>
          <w:rFonts w:ascii="宋体" w:hAnsi="宋体" w:cs="仿宋"/>
          <w:sz w:val="28"/>
          <w:szCs w:val="28"/>
        </w:rPr>
      </w:pPr>
      <w:r>
        <w:rPr>
          <w:rFonts w:ascii="宋体" w:hAnsi="宋体" w:cs="仿宋"/>
          <w:b/>
          <w:sz w:val="28"/>
          <w:szCs w:val="28"/>
        </w:rPr>
        <mc:AlternateContent>
          <mc:Choice Requires="wps">
            <w:drawing>
              <wp:anchor distT="0" distB="0" distL="114300" distR="114300" simplePos="0" relativeHeight="251660288" behindDoc="0" locked="0" layoutInCell="1" allowOverlap="1">
                <wp:simplePos x="0" y="0"/>
                <wp:positionH relativeFrom="column">
                  <wp:posOffset>2266950</wp:posOffset>
                </wp:positionH>
                <wp:positionV relativeFrom="paragraph">
                  <wp:posOffset>188595</wp:posOffset>
                </wp:positionV>
                <wp:extent cx="228600" cy="0"/>
                <wp:effectExtent l="0" t="38100" r="0" b="38100"/>
                <wp:wrapNone/>
                <wp:docPr id="1" name="直线 2"/>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 o:spid="_x0000_s1026" o:spt="20" style="position:absolute;left:0pt;margin-left:178.5pt;margin-top:14.85pt;height:0pt;width:18pt;z-index:251660288;mso-width-relative:page;mso-height-relative:page;" filled="f" stroked="t" coordsize="21600,21600" o:gfxdata="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OJoBLaAAAACQEAAA8AAAAAAAAAAQAgAAAAIgAAAGRycy9kb3ducmV2LnhtbFBLAQIUABQA&#10;AAAIAIdO4kD07+dd7gEAAN4DAAAOAAAAAAAAAAEAIAAAACkBAABkcnMvZTJvRG9jLnhtbFBLBQYA&#10;AAAABgAGAFkBAACJBQAAAAA=&#10;">
                <v:fill on="f" focussize="0,0"/>
                <v:stroke color="#000000" joinstyle="round" endarrow="block"/>
                <v:imagedata o:title=""/>
                <o:lock v:ext="edit" aspectratio="f"/>
              </v:line>
            </w:pict>
          </mc:Fallback>
        </mc:AlternateContent>
      </w:r>
      <w:r>
        <w:rPr>
          <w:rFonts w:ascii="宋体" w:hAnsi="宋体" w:cs="仿宋"/>
          <w:b/>
          <w:sz w:val="28"/>
          <w:szCs w:val="28"/>
        </w:rPr>
        <mc:AlternateContent>
          <mc:Choice Requires="wps">
            <w:drawing>
              <wp:anchor distT="0" distB="0" distL="114300" distR="114300" simplePos="0" relativeHeight="251661312" behindDoc="0" locked="0" layoutInCell="1" allowOverlap="1">
                <wp:simplePos x="0" y="0"/>
                <wp:positionH relativeFrom="column">
                  <wp:posOffset>3267075</wp:posOffset>
                </wp:positionH>
                <wp:positionV relativeFrom="paragraph">
                  <wp:posOffset>207645</wp:posOffset>
                </wp:positionV>
                <wp:extent cx="228600" cy="0"/>
                <wp:effectExtent l="0" t="38100" r="0" b="38100"/>
                <wp:wrapNone/>
                <wp:docPr id="2" name="直线 3"/>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 o:spid="_x0000_s1026" o:spt="20" style="position:absolute;left:0pt;margin-left:257.25pt;margin-top:16.35pt;height:0pt;width:18pt;z-index:251661312;mso-width-relative:page;mso-height-relative:page;" filled="f" stroked="t" coordsize="21600,21600" o:gfxdata="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0ltf82AAAAAkBAAAPAAAAAAAAAAEAIAAAACIAAABkcnMvZG93bnJldi54bWxQSwECFAAUAAAA&#10;CACHTuJAOzsgp+4BAADeAwAADgAAAAAAAAABACAAAAAnAQAAZHJzL2Uyb0RvYy54bWxQSwUGAAAA&#10;AAYABgBZAQAAhwUAAAAA&#10;">
                <v:fill on="f" focussize="0,0"/>
                <v:stroke color="#000000" joinstyle="round" endarrow="block"/>
                <v:imagedata o:title=""/>
                <o:lock v:ext="edit" aspectratio="f"/>
              </v:line>
            </w:pict>
          </mc:Fallback>
        </mc:AlternateContent>
      </w:r>
      <w:r>
        <w:rPr>
          <w:rFonts w:hint="eastAsia" w:ascii="宋体" w:hAnsi="宋体" w:cs="仿宋"/>
          <w:b/>
          <w:sz w:val="28"/>
          <w:szCs w:val="28"/>
        </w:rPr>
        <w:t>1、日常检查：</w:t>
      </w:r>
      <w:r>
        <w:rPr>
          <w:rFonts w:hint="eastAsia" w:ascii="宋体" w:hAnsi="宋体" w:cs="仿宋"/>
          <w:sz w:val="28"/>
          <w:szCs w:val="28"/>
        </w:rPr>
        <w:t xml:space="preserve">现场检查   书面整改    扣罚通知。   </w:t>
      </w:r>
    </w:p>
    <w:p w14:paraId="3A7B195B">
      <w:pPr>
        <w:spacing w:line="520" w:lineRule="exact"/>
        <w:ind w:firstLine="562" w:firstLineChars="200"/>
        <w:rPr>
          <w:rFonts w:ascii="宋体" w:hAnsi="宋体" w:cs="仿宋"/>
          <w:sz w:val="28"/>
          <w:szCs w:val="28"/>
        </w:rPr>
      </w:pPr>
      <w:r>
        <w:rPr>
          <w:rFonts w:ascii="宋体" w:hAnsi="宋体" w:cs="仿宋"/>
          <w:b/>
          <w:sz w:val="28"/>
          <w:szCs w:val="28"/>
        </w:rPr>
        <mc:AlternateContent>
          <mc:Choice Requires="wps">
            <w:drawing>
              <wp:anchor distT="0" distB="0" distL="114300" distR="114300" simplePos="0" relativeHeight="251663360" behindDoc="0" locked="0" layoutInCell="1" allowOverlap="1">
                <wp:simplePos x="0" y="0"/>
                <wp:positionH relativeFrom="column">
                  <wp:posOffset>3267075</wp:posOffset>
                </wp:positionH>
                <wp:positionV relativeFrom="paragraph">
                  <wp:posOffset>198120</wp:posOffset>
                </wp:positionV>
                <wp:extent cx="228600" cy="0"/>
                <wp:effectExtent l="0" t="38100" r="0" b="38100"/>
                <wp:wrapNone/>
                <wp:docPr id="4" name="直线 5"/>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5" o:spid="_x0000_s1026" o:spt="20" style="position:absolute;left:0pt;margin-left:257.25pt;margin-top:15.6pt;height:0pt;width:18pt;z-index:251663360;mso-width-relative:page;mso-height-relative:page;" filled="f" stroked="t" coordsize="21600,21600" o:gfxdata="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ZuW1mtgAAAAJAQAADwAAAAAAAAABACAAAAAiAAAAZHJzL2Rvd25yZXYueG1sUEsBAhQAFAAA&#10;AAgAh07iQEpUHp/vAQAA3gMAAA4AAAAAAAAAAQAgAAAAJwEAAGRycy9lMm9Eb2MueG1sUEsFBgAA&#10;AAAGAAYAWQEAAIgFAAAAAA==&#10;">
                <v:fill on="f" focussize="0,0"/>
                <v:stroke color="#000000" joinstyle="round" endarrow="block"/>
                <v:imagedata o:title=""/>
                <o:lock v:ext="edit" aspectratio="f"/>
              </v:line>
            </w:pict>
          </mc:Fallback>
        </mc:AlternateContent>
      </w:r>
      <w:r>
        <w:rPr>
          <w:rFonts w:ascii="宋体" w:hAnsi="宋体" w:cs="仿宋"/>
          <w:b/>
          <w:sz w:val="28"/>
          <w:szCs w:val="28"/>
        </w:rPr>
        <mc:AlternateContent>
          <mc:Choice Requires="wps">
            <w:drawing>
              <wp:anchor distT="0" distB="0" distL="114300" distR="114300" simplePos="0" relativeHeight="251662336" behindDoc="0" locked="0" layoutInCell="1" allowOverlap="1">
                <wp:simplePos x="0" y="0"/>
                <wp:positionH relativeFrom="column">
                  <wp:posOffset>2276475</wp:posOffset>
                </wp:positionH>
                <wp:positionV relativeFrom="paragraph">
                  <wp:posOffset>179070</wp:posOffset>
                </wp:positionV>
                <wp:extent cx="228600" cy="0"/>
                <wp:effectExtent l="0" t="38100" r="0" b="38100"/>
                <wp:wrapNone/>
                <wp:docPr id="3" name="直线 4"/>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 o:spid="_x0000_s1026" o:spt="20" style="position:absolute;left:0pt;margin-left:179.25pt;margin-top:14.1pt;height:0pt;width:18pt;z-index:251662336;mso-width-relative:page;mso-height-relative:page;" filled="f" stroked="t" coordsize="21600,21600" o:gfxdata="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ejct2AAAAAkBAAAPAAAAAAAAAAEAIAAAACIAAABkcnMvZG93bnJldi54bWxQSwECFAAUAAAA&#10;CACHTuJAdQrNXO4BAADeAwAADgAAAAAAAAABACAAAAAnAQAAZHJzL2Uyb0RvYy54bWxQSwUGAAAA&#10;AAYABgBZAQAAhwUAAAAA&#10;">
                <v:fill on="f" focussize="0,0"/>
                <v:stroke color="#000000" joinstyle="round" endarrow="block"/>
                <v:imagedata o:title=""/>
                <o:lock v:ext="edit" aspectratio="f"/>
              </v:line>
            </w:pict>
          </mc:Fallback>
        </mc:AlternateContent>
      </w:r>
      <w:r>
        <w:rPr>
          <w:rFonts w:hint="eastAsia" w:ascii="宋体" w:hAnsi="宋体" w:cs="仿宋"/>
          <w:b/>
          <w:sz w:val="28"/>
          <w:szCs w:val="28"/>
        </w:rPr>
        <w:t>2、季度考核</w:t>
      </w:r>
      <w:r>
        <w:rPr>
          <w:rFonts w:hint="eastAsia" w:ascii="宋体" w:hAnsi="宋体" w:cs="仿宋"/>
          <w:sz w:val="28"/>
          <w:szCs w:val="28"/>
        </w:rPr>
        <w:t>：现场检查   考核评分    公布结果。</w:t>
      </w:r>
    </w:p>
    <w:p w14:paraId="23A37758">
      <w:pPr>
        <w:spacing w:line="520" w:lineRule="exact"/>
        <w:ind w:firstLine="562" w:firstLineChars="200"/>
        <w:rPr>
          <w:rFonts w:ascii="宋体" w:hAnsi="宋体" w:cs="仿宋"/>
          <w:sz w:val="28"/>
          <w:szCs w:val="28"/>
        </w:rPr>
      </w:pPr>
      <w:r>
        <w:rPr>
          <w:rFonts w:ascii="宋体" w:hAnsi="宋体" w:cs="仿宋"/>
          <w:b/>
          <w:sz w:val="28"/>
          <w:szCs w:val="28"/>
        </w:rPr>
        <mc:AlternateContent>
          <mc:Choice Requires="wps">
            <w:drawing>
              <wp:anchor distT="0" distB="0" distL="114300" distR="114300" simplePos="0" relativeHeight="251664384" behindDoc="0" locked="0" layoutInCell="1" allowOverlap="1">
                <wp:simplePos x="0" y="0"/>
                <wp:positionH relativeFrom="column">
                  <wp:posOffset>2819400</wp:posOffset>
                </wp:positionH>
                <wp:positionV relativeFrom="paragraph">
                  <wp:posOffset>207645</wp:posOffset>
                </wp:positionV>
                <wp:extent cx="228600" cy="0"/>
                <wp:effectExtent l="0" t="38100" r="0" b="38100"/>
                <wp:wrapNone/>
                <wp:docPr id="5" name="直线 6"/>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 o:spid="_x0000_s1026" o:spt="20" style="position:absolute;left:0pt;margin-left:222pt;margin-top:16.35pt;height:0pt;width:18pt;z-index:251664384;mso-width-relative:page;mso-height-relative:page;" filled="f" stroked="t" coordsize="21600,21600" o:gfxdata="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Plqg5dkAAAAJAQAADwAAAAAAAAABACAAAAAiAAAAZHJzL2Rvd25yZXYueG1sUEsBAhQAFAAA&#10;AAgAh07iQKqlM3LuAQAA3gMAAA4AAAAAAAAAAQAgAAAAKAEAAGRycy9lMm9Eb2MueG1sUEsFBgAA&#10;AAAGAAYAWQEAAIgFAAAAAA==&#10;">
                <v:fill on="f" focussize="0,0"/>
                <v:stroke color="#000000" joinstyle="round" endarrow="block"/>
                <v:imagedata o:title=""/>
                <o:lock v:ext="edit" aspectratio="f"/>
              </v:line>
            </w:pict>
          </mc:Fallback>
        </mc:AlternateContent>
      </w:r>
      <w:r>
        <w:rPr>
          <w:rFonts w:hint="eastAsia" w:ascii="宋体" w:hAnsi="宋体" w:cs="仿宋"/>
          <w:b/>
          <w:sz w:val="28"/>
          <w:szCs w:val="28"/>
        </w:rPr>
        <w:t>3、年度汇总：</w:t>
      </w:r>
      <w:r>
        <w:rPr>
          <w:rFonts w:hint="eastAsia" w:ascii="宋体" w:hAnsi="宋体" w:cs="仿宋"/>
          <w:sz w:val="28"/>
          <w:szCs w:val="28"/>
        </w:rPr>
        <w:t>季度考核的汇总   上报结果。</w:t>
      </w:r>
    </w:p>
    <w:p w14:paraId="4E1A459B">
      <w:pPr>
        <w:spacing w:line="520" w:lineRule="exact"/>
        <w:rPr>
          <w:rFonts w:ascii="宋体" w:hAnsi="宋体"/>
          <w:b/>
          <w:sz w:val="28"/>
          <w:szCs w:val="28"/>
        </w:rPr>
      </w:pPr>
      <w:r>
        <w:rPr>
          <w:rFonts w:hint="eastAsia" w:ascii="宋体" w:hAnsi="宋体"/>
          <w:b/>
          <w:sz w:val="28"/>
          <w:szCs w:val="28"/>
        </w:rPr>
        <w:t>二、考核主要内容</w:t>
      </w:r>
    </w:p>
    <w:p w14:paraId="67F97DAC">
      <w:pPr>
        <w:spacing w:line="520" w:lineRule="exact"/>
        <w:ind w:firstLine="562" w:firstLineChars="200"/>
        <w:rPr>
          <w:rFonts w:ascii="宋体" w:hAnsi="宋体"/>
          <w:b/>
          <w:bCs/>
          <w:sz w:val="28"/>
          <w:szCs w:val="28"/>
        </w:rPr>
      </w:pPr>
      <w:r>
        <w:rPr>
          <w:rFonts w:hint="eastAsia" w:ascii="宋体" w:hAnsi="宋体"/>
          <w:b/>
          <w:bCs/>
          <w:sz w:val="28"/>
          <w:szCs w:val="28"/>
        </w:rPr>
        <w:t>2.1 绿化养护管理要点及主要内容</w:t>
      </w:r>
    </w:p>
    <w:p w14:paraId="11240AC9">
      <w:pPr>
        <w:spacing w:line="520" w:lineRule="exact"/>
        <w:ind w:firstLine="560" w:firstLineChars="200"/>
        <w:rPr>
          <w:rFonts w:ascii="宋体" w:hAnsi="宋体"/>
          <w:sz w:val="28"/>
          <w:szCs w:val="28"/>
        </w:rPr>
      </w:pPr>
      <w:r>
        <w:rPr>
          <w:rFonts w:hint="eastAsia" w:ascii="宋体" w:hAnsi="宋体"/>
          <w:sz w:val="28"/>
          <w:szCs w:val="28"/>
        </w:rPr>
        <w:t>2.1.1 园艺管理、病虫害防治部分严格按照《园林绿化养护管理标准》进行养护管理。</w:t>
      </w:r>
    </w:p>
    <w:p w14:paraId="6FAFAA23">
      <w:pPr>
        <w:spacing w:line="520" w:lineRule="exact"/>
        <w:ind w:firstLine="560" w:firstLineChars="200"/>
        <w:rPr>
          <w:rFonts w:ascii="宋体" w:hAnsi="宋体"/>
          <w:sz w:val="28"/>
          <w:szCs w:val="28"/>
        </w:rPr>
      </w:pPr>
      <w:r>
        <w:rPr>
          <w:rFonts w:hint="eastAsia" w:ascii="宋体" w:hAnsi="宋体"/>
          <w:sz w:val="28"/>
          <w:szCs w:val="28"/>
        </w:rPr>
        <w:t>2.1.2 其它</w:t>
      </w:r>
    </w:p>
    <w:p w14:paraId="23B6DA95">
      <w:pPr>
        <w:spacing w:line="520" w:lineRule="exact"/>
        <w:ind w:firstLine="560" w:firstLineChars="200"/>
        <w:rPr>
          <w:rFonts w:ascii="宋体" w:hAnsi="宋体"/>
          <w:sz w:val="28"/>
          <w:szCs w:val="28"/>
        </w:rPr>
      </w:pPr>
      <w:r>
        <w:rPr>
          <w:rFonts w:hint="eastAsia" w:ascii="宋体" w:hAnsi="宋体"/>
          <w:sz w:val="28"/>
          <w:szCs w:val="28"/>
        </w:rPr>
        <w:t>2.1.2.1 负责对管理区域内的座凳、木质铺装、花架、木栅栏、喷泉等公共设施的日常巡查及维护。若设施遭损毁，更换维修费用将从当月养护经费中扣除。</w:t>
      </w:r>
    </w:p>
    <w:p w14:paraId="07D905F8">
      <w:pPr>
        <w:spacing w:line="520" w:lineRule="exact"/>
        <w:ind w:firstLine="546" w:firstLineChars="195"/>
        <w:rPr>
          <w:rFonts w:ascii="宋体" w:hAnsi="宋体"/>
          <w:sz w:val="28"/>
          <w:szCs w:val="28"/>
        </w:rPr>
      </w:pPr>
      <w:r>
        <w:rPr>
          <w:rFonts w:hint="eastAsia" w:ascii="宋体" w:hAnsi="宋体"/>
          <w:sz w:val="28"/>
          <w:szCs w:val="28"/>
        </w:rPr>
        <w:t>2.1.2.2 负责对管理区域内修剪下的枝叶及时清运、做到随产随清。</w:t>
      </w:r>
    </w:p>
    <w:p w14:paraId="41291F1C">
      <w:pPr>
        <w:spacing w:line="520" w:lineRule="exact"/>
        <w:ind w:firstLine="546" w:firstLineChars="195"/>
        <w:rPr>
          <w:rFonts w:ascii="宋体" w:hAnsi="宋体"/>
          <w:sz w:val="28"/>
          <w:szCs w:val="28"/>
        </w:rPr>
      </w:pPr>
      <w:r>
        <w:rPr>
          <w:rFonts w:hint="eastAsia" w:ascii="宋体" w:hAnsi="宋体"/>
          <w:sz w:val="28"/>
          <w:szCs w:val="28"/>
        </w:rPr>
        <w:t>2.1.2.3 负责对管理区域内的秩序管理，无栓挂，无践踏绿地和其他破坏绿化的行为；游园秩序井然；设施完好无损，否则照价赔偿。</w:t>
      </w:r>
    </w:p>
    <w:p w14:paraId="38D8F0C2">
      <w:pPr>
        <w:spacing w:line="500" w:lineRule="exact"/>
        <w:ind w:firstLine="546" w:firstLineChars="195"/>
        <w:rPr>
          <w:rFonts w:ascii="宋体" w:hAnsi="宋体"/>
          <w:sz w:val="28"/>
          <w:szCs w:val="28"/>
        </w:rPr>
      </w:pPr>
      <w:r>
        <w:rPr>
          <w:rFonts w:hint="eastAsia" w:ascii="宋体" w:hAnsi="宋体"/>
          <w:sz w:val="28"/>
          <w:szCs w:val="28"/>
        </w:rPr>
        <w:t>2.1.2.4 台账记录详细如实。养护单位须建立健全每日巡视制度。项目经理每日巡视，发现并处理养护区域内出现的问题，做好每日巡视记录。</w:t>
      </w:r>
    </w:p>
    <w:p w14:paraId="150A8195">
      <w:pPr>
        <w:spacing w:line="500" w:lineRule="exact"/>
        <w:ind w:firstLine="546" w:firstLineChars="195"/>
        <w:rPr>
          <w:rFonts w:ascii="宋体" w:hAnsi="宋体"/>
          <w:sz w:val="28"/>
          <w:szCs w:val="28"/>
        </w:rPr>
      </w:pPr>
      <w:r>
        <w:rPr>
          <w:rFonts w:hint="eastAsia" w:ascii="宋体" w:hAnsi="宋体"/>
          <w:sz w:val="28"/>
          <w:szCs w:val="28"/>
        </w:rPr>
        <w:t>2.1.2.5 对管理单位下发的整改通知书做到及时处理与解决。</w:t>
      </w:r>
    </w:p>
    <w:p w14:paraId="16D5AC5D">
      <w:pPr>
        <w:spacing w:line="500" w:lineRule="exact"/>
        <w:ind w:firstLine="546" w:firstLineChars="195"/>
        <w:rPr>
          <w:rFonts w:ascii="宋体" w:hAnsi="宋体"/>
          <w:sz w:val="28"/>
          <w:szCs w:val="28"/>
        </w:rPr>
      </w:pPr>
      <w:r>
        <w:rPr>
          <w:rFonts w:hint="eastAsia" w:ascii="宋体" w:hAnsi="宋体"/>
          <w:sz w:val="28"/>
          <w:szCs w:val="28"/>
        </w:rPr>
        <w:t>2.1.2.6 指定专人分区负责养护管理</w:t>
      </w:r>
    </w:p>
    <w:p w14:paraId="6800C9E0">
      <w:pPr>
        <w:spacing w:line="500" w:lineRule="exact"/>
        <w:ind w:firstLine="546" w:firstLineChars="195"/>
        <w:rPr>
          <w:rFonts w:ascii="宋体" w:hAnsi="宋体"/>
          <w:sz w:val="28"/>
          <w:szCs w:val="28"/>
        </w:rPr>
      </w:pPr>
      <w:r>
        <w:rPr>
          <w:rFonts w:hint="eastAsia" w:ascii="宋体" w:hAnsi="宋体"/>
          <w:sz w:val="28"/>
          <w:szCs w:val="28"/>
        </w:rPr>
        <w:t>2.1.2.7 养护单位须配备必要的种植、运输工具，负责养护范围内的园林植物种植，补植、移植等工作。</w:t>
      </w:r>
    </w:p>
    <w:p w14:paraId="7FC4CD24">
      <w:pPr>
        <w:spacing w:line="500" w:lineRule="exact"/>
        <w:ind w:firstLine="546" w:firstLineChars="195"/>
        <w:rPr>
          <w:rFonts w:ascii="宋体" w:hAnsi="宋体"/>
          <w:sz w:val="28"/>
          <w:szCs w:val="28"/>
        </w:rPr>
      </w:pPr>
      <w:r>
        <w:rPr>
          <w:rFonts w:hint="eastAsia" w:ascii="宋体" w:hAnsi="宋体"/>
          <w:sz w:val="28"/>
          <w:szCs w:val="28"/>
        </w:rPr>
        <w:t>2.1.2.8 负责养护范围内的乔、灌木及水生植物的修剪、施肥、除草、浇水等日常养护工作。</w:t>
      </w:r>
    </w:p>
    <w:p w14:paraId="302536D9">
      <w:pPr>
        <w:spacing w:line="500" w:lineRule="exact"/>
        <w:ind w:firstLine="546" w:firstLineChars="195"/>
        <w:rPr>
          <w:rFonts w:ascii="宋体" w:hAnsi="宋体"/>
          <w:sz w:val="28"/>
          <w:szCs w:val="28"/>
        </w:rPr>
      </w:pPr>
      <w:r>
        <w:rPr>
          <w:rFonts w:hint="eastAsia" w:ascii="宋体" w:hAnsi="宋体"/>
          <w:sz w:val="28"/>
          <w:szCs w:val="28"/>
        </w:rPr>
        <w:t>2.1.2.9 养护期内，各中标养护单位管养范围内，出现绿化苗木死亡，缺损等现象，由养护单位及时补植、完善。费用自负。</w:t>
      </w:r>
    </w:p>
    <w:p w14:paraId="44DC1AFD">
      <w:pPr>
        <w:spacing w:line="500" w:lineRule="exact"/>
        <w:ind w:firstLine="546" w:firstLineChars="195"/>
        <w:rPr>
          <w:rFonts w:ascii="宋体" w:hAnsi="宋体"/>
          <w:sz w:val="28"/>
          <w:szCs w:val="28"/>
        </w:rPr>
      </w:pPr>
      <w:r>
        <w:rPr>
          <w:rFonts w:hint="eastAsia" w:ascii="宋体" w:hAnsi="宋体"/>
          <w:sz w:val="28"/>
          <w:szCs w:val="28"/>
        </w:rPr>
        <w:t>2.1.2.10 如遇上级各种检查以及各类创建评比活动时，养护单位应及时安排人员做好绿地维护管理工作，确保养护单位达标不失分，基本无批评投诉问题，由此产生的费用均在合同价款以内。</w:t>
      </w:r>
    </w:p>
    <w:p w14:paraId="301151D8">
      <w:pPr>
        <w:spacing w:line="500" w:lineRule="exact"/>
        <w:rPr>
          <w:rFonts w:ascii="宋体" w:hAnsi="宋体"/>
          <w:b/>
          <w:bCs/>
          <w:sz w:val="28"/>
          <w:szCs w:val="28"/>
        </w:rPr>
      </w:pPr>
      <w:r>
        <w:rPr>
          <w:rFonts w:hint="eastAsia" w:ascii="宋体" w:hAnsi="宋体"/>
          <w:b/>
          <w:bCs/>
          <w:sz w:val="28"/>
          <w:szCs w:val="28"/>
        </w:rPr>
        <w:t>2.2 工作人员要求</w:t>
      </w:r>
    </w:p>
    <w:p w14:paraId="44D078E1">
      <w:pPr>
        <w:spacing w:line="500" w:lineRule="exact"/>
        <w:ind w:firstLine="560" w:firstLineChars="200"/>
        <w:rPr>
          <w:rFonts w:ascii="宋体" w:hAnsi="宋体"/>
          <w:sz w:val="28"/>
          <w:szCs w:val="28"/>
        </w:rPr>
      </w:pPr>
      <w:r>
        <w:rPr>
          <w:rFonts w:hint="eastAsia" w:ascii="宋体" w:hAnsi="宋体"/>
          <w:sz w:val="28"/>
          <w:szCs w:val="28"/>
        </w:rPr>
        <w:t>绿地每15000平方米固定现场养护工人不少于1人，在总人数不变的情况下，合理安排各标段内重要景点的养护工人数量。</w:t>
      </w:r>
    </w:p>
    <w:p w14:paraId="6A968EA5">
      <w:pPr>
        <w:spacing w:line="500" w:lineRule="exact"/>
        <w:ind w:firstLine="560" w:firstLineChars="200"/>
        <w:rPr>
          <w:rFonts w:ascii="宋体" w:hAnsi="宋体"/>
          <w:sz w:val="28"/>
          <w:szCs w:val="28"/>
        </w:rPr>
      </w:pPr>
    </w:p>
    <w:p w14:paraId="085A9687">
      <w:pPr>
        <w:spacing w:line="500" w:lineRule="exact"/>
        <w:ind w:firstLine="200"/>
        <w:jc w:val="center"/>
        <w:rPr>
          <w:rFonts w:ascii="宋体" w:hAnsi="宋体"/>
          <w:sz w:val="24"/>
        </w:rPr>
      </w:pPr>
      <w:r>
        <w:rPr>
          <w:rFonts w:hint="eastAsia" w:ascii="宋体" w:hAnsi="宋体"/>
          <w:sz w:val="24"/>
        </w:rPr>
        <w:t>表1 工作人员人数要求</w:t>
      </w:r>
    </w:p>
    <w:tbl>
      <w:tblPr>
        <w:tblStyle w:val="6"/>
        <w:tblW w:w="832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836"/>
        <w:gridCol w:w="1623"/>
        <w:gridCol w:w="4055"/>
      </w:tblGrid>
      <w:tr w14:paraId="418D6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811" w:type="dxa"/>
            <w:vMerge w:val="restart"/>
            <w:vAlign w:val="center"/>
          </w:tcPr>
          <w:p w14:paraId="781521A1">
            <w:pPr>
              <w:spacing w:line="500" w:lineRule="exact"/>
              <w:ind w:firstLine="200"/>
              <w:rPr>
                <w:rFonts w:ascii="宋体" w:hAnsi="宋体"/>
                <w:sz w:val="24"/>
              </w:rPr>
            </w:pPr>
            <w:r>
              <w:rPr>
                <w:rFonts w:hint="eastAsia" w:ascii="宋体" w:hAnsi="宋体"/>
                <w:sz w:val="24"/>
              </w:rPr>
              <w:t>标</w:t>
            </w:r>
          </w:p>
          <w:p w14:paraId="0F8860A9">
            <w:pPr>
              <w:spacing w:line="500" w:lineRule="exact"/>
              <w:ind w:firstLine="200"/>
              <w:rPr>
                <w:rFonts w:ascii="宋体" w:hAnsi="宋体"/>
                <w:sz w:val="24"/>
              </w:rPr>
            </w:pPr>
            <w:r>
              <w:rPr>
                <w:rFonts w:hint="eastAsia" w:ascii="宋体" w:hAnsi="宋体"/>
                <w:sz w:val="24"/>
              </w:rPr>
              <w:t>段</w:t>
            </w:r>
          </w:p>
        </w:tc>
        <w:tc>
          <w:tcPr>
            <w:tcW w:w="7514" w:type="dxa"/>
            <w:gridSpan w:val="3"/>
          </w:tcPr>
          <w:p w14:paraId="0950CEB2">
            <w:pPr>
              <w:spacing w:line="500" w:lineRule="exact"/>
              <w:ind w:firstLine="200"/>
              <w:jc w:val="center"/>
              <w:rPr>
                <w:rFonts w:ascii="宋体" w:hAnsi="宋体"/>
                <w:sz w:val="24"/>
              </w:rPr>
            </w:pPr>
            <w:r>
              <w:rPr>
                <w:rFonts w:hint="eastAsia" w:ascii="宋体" w:hAnsi="宋体"/>
                <w:sz w:val="24"/>
              </w:rPr>
              <w:t>人员配备要求（人）</w:t>
            </w:r>
          </w:p>
        </w:tc>
      </w:tr>
      <w:tr w14:paraId="06D4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11" w:type="dxa"/>
            <w:vMerge w:val="continue"/>
          </w:tcPr>
          <w:p w14:paraId="2E92F086">
            <w:pPr>
              <w:spacing w:line="500" w:lineRule="exact"/>
              <w:ind w:firstLine="200"/>
              <w:rPr>
                <w:rFonts w:ascii="宋体" w:hAnsi="宋体"/>
                <w:sz w:val="24"/>
              </w:rPr>
            </w:pPr>
          </w:p>
        </w:tc>
        <w:tc>
          <w:tcPr>
            <w:tcW w:w="3459" w:type="dxa"/>
            <w:gridSpan w:val="2"/>
          </w:tcPr>
          <w:p w14:paraId="359FA91B">
            <w:pPr>
              <w:spacing w:line="500" w:lineRule="exact"/>
              <w:ind w:firstLine="200"/>
              <w:jc w:val="center"/>
              <w:rPr>
                <w:rFonts w:ascii="宋体" w:hAnsi="宋体"/>
                <w:sz w:val="24"/>
              </w:rPr>
            </w:pPr>
            <w:r>
              <w:rPr>
                <w:rFonts w:hint="eastAsia" w:ascii="宋体" w:hAnsi="宋体"/>
                <w:sz w:val="24"/>
              </w:rPr>
              <w:t>管理人员</w:t>
            </w:r>
          </w:p>
        </w:tc>
        <w:tc>
          <w:tcPr>
            <w:tcW w:w="4055" w:type="dxa"/>
            <w:vMerge w:val="restart"/>
            <w:vAlign w:val="center"/>
          </w:tcPr>
          <w:p w14:paraId="53B2B7BD">
            <w:pPr>
              <w:spacing w:line="500" w:lineRule="exact"/>
              <w:ind w:firstLine="200"/>
              <w:rPr>
                <w:rFonts w:ascii="宋体" w:hAnsi="宋体"/>
                <w:sz w:val="24"/>
              </w:rPr>
            </w:pPr>
            <w:r>
              <w:rPr>
                <w:rFonts w:hint="eastAsia" w:ascii="宋体" w:hAnsi="宋体"/>
                <w:sz w:val="24"/>
              </w:rPr>
              <w:t>现场绿地养护工人最低限</w:t>
            </w:r>
          </w:p>
        </w:tc>
      </w:tr>
      <w:tr w14:paraId="4AB1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11" w:type="dxa"/>
            <w:vMerge w:val="continue"/>
          </w:tcPr>
          <w:p w14:paraId="541EBFB2">
            <w:pPr>
              <w:spacing w:line="500" w:lineRule="exact"/>
              <w:ind w:firstLine="200"/>
              <w:rPr>
                <w:rFonts w:ascii="宋体" w:hAnsi="宋体"/>
                <w:sz w:val="24"/>
              </w:rPr>
            </w:pPr>
          </w:p>
        </w:tc>
        <w:tc>
          <w:tcPr>
            <w:tcW w:w="1836" w:type="dxa"/>
          </w:tcPr>
          <w:p w14:paraId="467C72A7">
            <w:pPr>
              <w:spacing w:line="500" w:lineRule="exact"/>
              <w:rPr>
                <w:rFonts w:ascii="宋体" w:hAnsi="宋体"/>
                <w:sz w:val="24"/>
              </w:rPr>
            </w:pPr>
            <w:r>
              <w:rPr>
                <w:rFonts w:hint="eastAsia" w:ascii="宋体" w:hAnsi="宋体"/>
                <w:sz w:val="24"/>
              </w:rPr>
              <w:t>专职项目经理</w:t>
            </w:r>
          </w:p>
        </w:tc>
        <w:tc>
          <w:tcPr>
            <w:tcW w:w="1623" w:type="dxa"/>
          </w:tcPr>
          <w:p w14:paraId="00FDFBB5">
            <w:pPr>
              <w:spacing w:line="500" w:lineRule="exact"/>
              <w:ind w:firstLine="200"/>
              <w:rPr>
                <w:rFonts w:ascii="宋体" w:hAnsi="宋体"/>
                <w:sz w:val="24"/>
              </w:rPr>
            </w:pPr>
            <w:r>
              <w:rPr>
                <w:rFonts w:hint="eastAsia" w:ascii="宋体" w:hAnsi="宋体"/>
                <w:sz w:val="24"/>
              </w:rPr>
              <w:t>专职技术员</w:t>
            </w:r>
          </w:p>
        </w:tc>
        <w:tc>
          <w:tcPr>
            <w:tcW w:w="4055" w:type="dxa"/>
            <w:vMerge w:val="continue"/>
          </w:tcPr>
          <w:p w14:paraId="111E57F8">
            <w:pPr>
              <w:spacing w:line="500" w:lineRule="exact"/>
              <w:ind w:firstLine="200"/>
              <w:rPr>
                <w:rFonts w:ascii="宋体" w:hAnsi="宋体"/>
                <w:sz w:val="24"/>
              </w:rPr>
            </w:pPr>
          </w:p>
        </w:tc>
      </w:tr>
      <w:tr w14:paraId="688D0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811" w:type="dxa"/>
          </w:tcPr>
          <w:p w14:paraId="4153E3A5">
            <w:pPr>
              <w:spacing w:line="500" w:lineRule="exact"/>
              <w:ind w:firstLine="200"/>
              <w:rPr>
                <w:rFonts w:ascii="宋体" w:hAnsi="宋体"/>
                <w:sz w:val="24"/>
              </w:rPr>
            </w:pPr>
            <w:r>
              <w:rPr>
                <w:rFonts w:hint="eastAsia" w:ascii="宋体" w:hAnsi="宋体"/>
                <w:sz w:val="24"/>
              </w:rPr>
              <w:t>一</w:t>
            </w:r>
          </w:p>
        </w:tc>
        <w:tc>
          <w:tcPr>
            <w:tcW w:w="1836" w:type="dxa"/>
            <w:vAlign w:val="center"/>
          </w:tcPr>
          <w:p w14:paraId="24711BBB">
            <w:pPr>
              <w:spacing w:line="500" w:lineRule="exact"/>
              <w:ind w:firstLine="200"/>
              <w:jc w:val="center"/>
              <w:rPr>
                <w:rFonts w:ascii="宋体" w:hAnsi="宋体"/>
                <w:sz w:val="24"/>
              </w:rPr>
            </w:pPr>
            <w:r>
              <w:rPr>
                <w:rFonts w:hint="eastAsia" w:ascii="宋体" w:hAnsi="宋体"/>
                <w:sz w:val="24"/>
              </w:rPr>
              <w:t>1</w:t>
            </w:r>
          </w:p>
        </w:tc>
        <w:tc>
          <w:tcPr>
            <w:tcW w:w="1623" w:type="dxa"/>
            <w:vAlign w:val="center"/>
          </w:tcPr>
          <w:p w14:paraId="72EE142B">
            <w:pPr>
              <w:spacing w:line="500" w:lineRule="exact"/>
              <w:ind w:firstLine="200"/>
              <w:jc w:val="center"/>
              <w:rPr>
                <w:rFonts w:ascii="宋体" w:hAnsi="宋体"/>
                <w:sz w:val="24"/>
              </w:rPr>
            </w:pPr>
            <w:r>
              <w:rPr>
                <w:rFonts w:hint="eastAsia" w:ascii="宋体" w:hAnsi="宋体"/>
                <w:sz w:val="24"/>
              </w:rPr>
              <w:t>2</w:t>
            </w:r>
          </w:p>
        </w:tc>
        <w:tc>
          <w:tcPr>
            <w:tcW w:w="4055" w:type="dxa"/>
          </w:tcPr>
          <w:p w14:paraId="79E61F54">
            <w:pPr>
              <w:spacing w:line="500" w:lineRule="exact"/>
              <w:ind w:firstLine="200"/>
              <w:rPr>
                <w:rFonts w:ascii="宋体" w:hAnsi="宋体"/>
                <w:sz w:val="24"/>
              </w:rPr>
            </w:pPr>
            <w:r>
              <w:rPr>
                <w:rFonts w:hint="eastAsia" w:ascii="宋体" w:hAnsi="宋体"/>
                <w:sz w:val="24"/>
              </w:rPr>
              <w:t>地段面积/该地段人员定额</w:t>
            </w:r>
          </w:p>
        </w:tc>
      </w:tr>
    </w:tbl>
    <w:p w14:paraId="342BDDF1">
      <w:pPr>
        <w:spacing w:line="500" w:lineRule="exact"/>
        <w:ind w:firstLine="200"/>
        <w:rPr>
          <w:rFonts w:ascii="宋体" w:hAnsi="宋体"/>
          <w:sz w:val="30"/>
          <w:szCs w:val="30"/>
        </w:rPr>
      </w:pPr>
    </w:p>
    <w:p w14:paraId="49C2BAEE">
      <w:pPr>
        <w:spacing w:line="500" w:lineRule="exact"/>
        <w:ind w:firstLine="200"/>
        <w:rPr>
          <w:rFonts w:ascii="宋体" w:hAnsi="宋体"/>
          <w:sz w:val="28"/>
          <w:szCs w:val="28"/>
        </w:rPr>
      </w:pPr>
      <w:r>
        <w:rPr>
          <w:rFonts w:hint="eastAsia" w:ascii="宋体" w:hAnsi="宋体"/>
          <w:sz w:val="28"/>
          <w:szCs w:val="28"/>
        </w:rPr>
        <w:t>工作人员具体要求如下：</w:t>
      </w:r>
    </w:p>
    <w:p w14:paraId="7AF0B062">
      <w:pPr>
        <w:spacing w:line="500" w:lineRule="exact"/>
        <w:ind w:firstLine="280" w:firstLineChars="100"/>
        <w:rPr>
          <w:rFonts w:ascii="宋体" w:hAnsi="宋体"/>
          <w:sz w:val="28"/>
          <w:szCs w:val="28"/>
        </w:rPr>
      </w:pPr>
      <w:r>
        <w:rPr>
          <w:rFonts w:hint="eastAsia" w:ascii="宋体" w:hAnsi="宋体"/>
          <w:sz w:val="28"/>
          <w:szCs w:val="28"/>
        </w:rPr>
        <w:t>（1）工作人员应穿戴统一服装，秩序巡查人员制服及配套设备要符合行业规定。</w:t>
      </w:r>
    </w:p>
    <w:p w14:paraId="318D4AED">
      <w:pPr>
        <w:spacing w:line="500" w:lineRule="exact"/>
        <w:ind w:firstLine="200"/>
        <w:rPr>
          <w:rFonts w:ascii="宋体" w:hAnsi="宋体"/>
          <w:sz w:val="28"/>
          <w:szCs w:val="28"/>
        </w:rPr>
      </w:pPr>
      <w:r>
        <w:rPr>
          <w:rFonts w:hint="eastAsia" w:ascii="宋体" w:hAnsi="宋体"/>
          <w:sz w:val="28"/>
          <w:szCs w:val="28"/>
        </w:rPr>
        <w:t>（2）工作人员上路进行绿篱、行道树修剪或病虫害防治等相关园林养护工作时，应先在工作路段两端设置警示标牌。</w:t>
      </w:r>
    </w:p>
    <w:p w14:paraId="1FAAF552">
      <w:pPr>
        <w:spacing w:line="500" w:lineRule="exact"/>
        <w:ind w:firstLine="200"/>
        <w:rPr>
          <w:rFonts w:ascii="宋体" w:hAnsi="宋体"/>
          <w:sz w:val="28"/>
          <w:szCs w:val="28"/>
        </w:rPr>
      </w:pPr>
      <w:r>
        <w:rPr>
          <w:rFonts w:hint="eastAsia" w:ascii="宋体" w:hAnsi="宋体"/>
          <w:sz w:val="28"/>
          <w:szCs w:val="28"/>
        </w:rPr>
        <w:t>（3）确保24小时应急服务和承诺服务工作，有固定办公地点、值班人员及联系电话。</w:t>
      </w:r>
    </w:p>
    <w:p w14:paraId="48509359">
      <w:pPr>
        <w:spacing w:line="500" w:lineRule="exact"/>
        <w:ind w:firstLine="200"/>
        <w:rPr>
          <w:rFonts w:ascii="宋体" w:hAnsi="宋体"/>
          <w:sz w:val="28"/>
          <w:szCs w:val="28"/>
        </w:rPr>
      </w:pPr>
      <w:r>
        <w:rPr>
          <w:rFonts w:hint="eastAsia" w:ascii="宋体" w:hAnsi="宋体"/>
          <w:sz w:val="28"/>
          <w:szCs w:val="28"/>
        </w:rPr>
        <w:t>（4）项目经理必须常年在现场，并且不得同时担任其他项目的项目经理。</w:t>
      </w:r>
    </w:p>
    <w:p w14:paraId="411541E6">
      <w:pPr>
        <w:spacing w:line="500" w:lineRule="exact"/>
        <w:ind w:firstLine="200"/>
        <w:rPr>
          <w:rFonts w:ascii="宋体" w:hAnsi="宋体"/>
          <w:b/>
          <w:bCs/>
          <w:sz w:val="28"/>
          <w:szCs w:val="28"/>
        </w:rPr>
      </w:pPr>
      <w:r>
        <w:rPr>
          <w:rFonts w:hint="eastAsia" w:ascii="宋体" w:hAnsi="宋体"/>
          <w:b/>
          <w:bCs/>
          <w:sz w:val="28"/>
          <w:szCs w:val="28"/>
        </w:rPr>
        <w:t>2.3养护机械设备配置要求</w:t>
      </w:r>
    </w:p>
    <w:p w14:paraId="4B6AEDFA">
      <w:pPr>
        <w:spacing w:line="500" w:lineRule="exact"/>
        <w:ind w:firstLine="200"/>
        <w:rPr>
          <w:rFonts w:ascii="宋体" w:hAnsi="宋体"/>
          <w:b/>
          <w:bCs/>
          <w:sz w:val="28"/>
          <w:szCs w:val="28"/>
        </w:rPr>
      </w:pPr>
    </w:p>
    <w:p w14:paraId="673A4A39">
      <w:pPr>
        <w:spacing w:line="500" w:lineRule="exact"/>
        <w:ind w:firstLine="235" w:firstLineChars="98"/>
        <w:jc w:val="center"/>
        <w:rPr>
          <w:rFonts w:ascii="宋体" w:hAnsi="宋体"/>
          <w:sz w:val="24"/>
        </w:rPr>
      </w:pPr>
      <w:r>
        <w:rPr>
          <w:rFonts w:hint="eastAsia" w:ascii="宋体" w:hAnsi="宋体"/>
          <w:sz w:val="24"/>
        </w:rPr>
        <w:t>表2 养护机械设备配置要求</w:t>
      </w:r>
    </w:p>
    <w:tbl>
      <w:tblPr>
        <w:tblStyle w:val="6"/>
        <w:tblW w:w="8113"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623"/>
        <w:gridCol w:w="1626"/>
        <w:gridCol w:w="2055"/>
        <w:gridCol w:w="1998"/>
      </w:tblGrid>
      <w:tr w14:paraId="16FCF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811" w:type="dxa"/>
            <w:vMerge w:val="restart"/>
            <w:vAlign w:val="center"/>
          </w:tcPr>
          <w:p w14:paraId="2BE54919">
            <w:pPr>
              <w:spacing w:line="500" w:lineRule="exact"/>
              <w:ind w:firstLine="200"/>
              <w:rPr>
                <w:rFonts w:ascii="宋体" w:hAnsi="宋体"/>
                <w:sz w:val="24"/>
              </w:rPr>
            </w:pPr>
            <w:r>
              <w:rPr>
                <w:rFonts w:hint="eastAsia" w:ascii="宋体" w:hAnsi="宋体"/>
                <w:sz w:val="24"/>
              </w:rPr>
              <w:t>标</w:t>
            </w:r>
          </w:p>
          <w:p w14:paraId="06AE42B4">
            <w:pPr>
              <w:spacing w:line="500" w:lineRule="exact"/>
              <w:ind w:firstLine="200"/>
              <w:rPr>
                <w:rFonts w:ascii="宋体" w:hAnsi="宋体"/>
                <w:sz w:val="24"/>
              </w:rPr>
            </w:pPr>
            <w:r>
              <w:rPr>
                <w:rFonts w:hint="eastAsia" w:ascii="宋体" w:hAnsi="宋体"/>
                <w:sz w:val="24"/>
              </w:rPr>
              <w:t>段</w:t>
            </w:r>
          </w:p>
        </w:tc>
        <w:tc>
          <w:tcPr>
            <w:tcW w:w="7302" w:type="dxa"/>
            <w:gridSpan w:val="4"/>
          </w:tcPr>
          <w:p w14:paraId="273AA348">
            <w:pPr>
              <w:spacing w:line="500" w:lineRule="exact"/>
              <w:ind w:firstLine="200"/>
              <w:jc w:val="center"/>
              <w:rPr>
                <w:rFonts w:ascii="宋体" w:hAnsi="宋体"/>
                <w:sz w:val="24"/>
              </w:rPr>
            </w:pPr>
            <w:r>
              <w:rPr>
                <w:rFonts w:hint="eastAsia" w:ascii="宋体" w:hAnsi="宋体"/>
                <w:sz w:val="24"/>
              </w:rPr>
              <w:t>机械设备配置要求（辆或台）</w:t>
            </w:r>
          </w:p>
        </w:tc>
      </w:tr>
      <w:tr w14:paraId="784D3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811" w:type="dxa"/>
            <w:vMerge w:val="continue"/>
          </w:tcPr>
          <w:p w14:paraId="415B2BF0">
            <w:pPr>
              <w:spacing w:line="500" w:lineRule="exact"/>
              <w:ind w:firstLine="200"/>
              <w:rPr>
                <w:rFonts w:ascii="宋体" w:hAnsi="宋体"/>
                <w:sz w:val="24"/>
              </w:rPr>
            </w:pPr>
          </w:p>
        </w:tc>
        <w:tc>
          <w:tcPr>
            <w:tcW w:w="1623" w:type="dxa"/>
          </w:tcPr>
          <w:p w14:paraId="43210B88">
            <w:pPr>
              <w:spacing w:line="500" w:lineRule="exact"/>
              <w:ind w:firstLine="200"/>
              <w:jc w:val="center"/>
              <w:rPr>
                <w:rFonts w:ascii="宋体" w:hAnsi="宋体"/>
                <w:sz w:val="24"/>
              </w:rPr>
            </w:pPr>
            <w:r>
              <w:rPr>
                <w:rFonts w:hint="eastAsia" w:ascii="宋体" w:hAnsi="宋体"/>
                <w:sz w:val="24"/>
              </w:rPr>
              <w:t>水车等常用车</w:t>
            </w:r>
          </w:p>
        </w:tc>
        <w:tc>
          <w:tcPr>
            <w:tcW w:w="1626" w:type="dxa"/>
          </w:tcPr>
          <w:p w14:paraId="66569EBB">
            <w:pPr>
              <w:spacing w:line="500" w:lineRule="exact"/>
              <w:ind w:firstLine="200"/>
              <w:jc w:val="center"/>
              <w:rPr>
                <w:rFonts w:ascii="宋体" w:hAnsi="宋体"/>
                <w:sz w:val="24"/>
              </w:rPr>
            </w:pPr>
            <w:r>
              <w:rPr>
                <w:rFonts w:hint="eastAsia" w:ascii="宋体" w:hAnsi="宋体"/>
                <w:sz w:val="24"/>
              </w:rPr>
              <w:t>打药车或喷药设备</w:t>
            </w:r>
          </w:p>
        </w:tc>
        <w:tc>
          <w:tcPr>
            <w:tcW w:w="2055" w:type="dxa"/>
            <w:vAlign w:val="center"/>
          </w:tcPr>
          <w:p w14:paraId="366861EE">
            <w:pPr>
              <w:spacing w:line="500" w:lineRule="exact"/>
              <w:ind w:firstLine="319" w:firstLineChars="133"/>
              <w:rPr>
                <w:rFonts w:ascii="宋体" w:hAnsi="宋体"/>
                <w:sz w:val="24"/>
              </w:rPr>
            </w:pPr>
            <w:r>
              <w:rPr>
                <w:rFonts w:hint="eastAsia" w:ascii="宋体" w:hAnsi="宋体"/>
                <w:sz w:val="24"/>
              </w:rPr>
              <w:t>绿篱修剪机</w:t>
            </w:r>
          </w:p>
        </w:tc>
        <w:tc>
          <w:tcPr>
            <w:tcW w:w="1998" w:type="dxa"/>
            <w:vAlign w:val="center"/>
          </w:tcPr>
          <w:p w14:paraId="656DE3E5">
            <w:pPr>
              <w:spacing w:line="500" w:lineRule="exact"/>
              <w:ind w:firstLine="200"/>
              <w:rPr>
                <w:rFonts w:ascii="宋体" w:hAnsi="宋体"/>
                <w:sz w:val="24"/>
              </w:rPr>
            </w:pPr>
            <w:r>
              <w:rPr>
                <w:rFonts w:hint="eastAsia" w:ascii="宋体" w:hAnsi="宋体"/>
                <w:sz w:val="24"/>
              </w:rPr>
              <w:t>草坪修剪机</w:t>
            </w:r>
          </w:p>
        </w:tc>
      </w:tr>
      <w:tr w14:paraId="5F37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trPr>
        <w:tc>
          <w:tcPr>
            <w:tcW w:w="811" w:type="dxa"/>
          </w:tcPr>
          <w:p w14:paraId="04029662">
            <w:pPr>
              <w:spacing w:line="500" w:lineRule="exact"/>
              <w:ind w:firstLine="200"/>
              <w:rPr>
                <w:rFonts w:ascii="宋体" w:hAnsi="宋体"/>
                <w:sz w:val="24"/>
              </w:rPr>
            </w:pPr>
            <w:r>
              <w:rPr>
                <w:rFonts w:hint="eastAsia" w:ascii="宋体" w:hAnsi="宋体"/>
                <w:sz w:val="24"/>
              </w:rPr>
              <w:t>一</w:t>
            </w:r>
          </w:p>
        </w:tc>
        <w:tc>
          <w:tcPr>
            <w:tcW w:w="1623" w:type="dxa"/>
            <w:vAlign w:val="center"/>
          </w:tcPr>
          <w:p w14:paraId="49BCBF38">
            <w:pPr>
              <w:spacing w:line="500" w:lineRule="exact"/>
              <w:ind w:firstLine="200"/>
              <w:jc w:val="center"/>
              <w:rPr>
                <w:rFonts w:ascii="宋体" w:hAnsi="宋体"/>
                <w:sz w:val="24"/>
              </w:rPr>
            </w:pPr>
            <w:r>
              <w:rPr>
                <w:rFonts w:hint="eastAsia" w:ascii="宋体" w:hAnsi="宋体"/>
                <w:sz w:val="24"/>
              </w:rPr>
              <w:t>≥1</w:t>
            </w:r>
          </w:p>
        </w:tc>
        <w:tc>
          <w:tcPr>
            <w:tcW w:w="1626" w:type="dxa"/>
            <w:vAlign w:val="center"/>
          </w:tcPr>
          <w:p w14:paraId="5A892C7A">
            <w:pPr>
              <w:spacing w:line="500" w:lineRule="exact"/>
              <w:ind w:firstLine="200"/>
              <w:jc w:val="center"/>
              <w:rPr>
                <w:rFonts w:ascii="宋体" w:hAnsi="宋体"/>
                <w:sz w:val="24"/>
              </w:rPr>
            </w:pPr>
            <w:r>
              <w:rPr>
                <w:rFonts w:hint="eastAsia" w:ascii="宋体" w:hAnsi="宋体"/>
                <w:sz w:val="24"/>
              </w:rPr>
              <w:t>≥1</w:t>
            </w:r>
          </w:p>
        </w:tc>
        <w:tc>
          <w:tcPr>
            <w:tcW w:w="2055" w:type="dxa"/>
            <w:vAlign w:val="center"/>
          </w:tcPr>
          <w:p w14:paraId="7DDFE602">
            <w:pPr>
              <w:spacing w:line="500" w:lineRule="exact"/>
              <w:ind w:firstLine="200"/>
              <w:jc w:val="center"/>
              <w:rPr>
                <w:rFonts w:ascii="宋体" w:hAnsi="宋体"/>
                <w:sz w:val="24"/>
              </w:rPr>
            </w:pPr>
            <w:r>
              <w:rPr>
                <w:rFonts w:hint="eastAsia" w:ascii="宋体" w:hAnsi="宋体"/>
                <w:sz w:val="24"/>
              </w:rPr>
              <w:t>≥5</w:t>
            </w:r>
          </w:p>
        </w:tc>
        <w:tc>
          <w:tcPr>
            <w:tcW w:w="1998" w:type="dxa"/>
            <w:vAlign w:val="center"/>
          </w:tcPr>
          <w:p w14:paraId="2BF8F5E0">
            <w:pPr>
              <w:spacing w:line="500" w:lineRule="exact"/>
              <w:ind w:firstLine="200"/>
              <w:jc w:val="center"/>
              <w:rPr>
                <w:rFonts w:ascii="宋体" w:hAnsi="宋体"/>
                <w:sz w:val="24"/>
              </w:rPr>
            </w:pPr>
            <w:r>
              <w:rPr>
                <w:rFonts w:hint="eastAsia" w:ascii="宋体" w:hAnsi="宋体"/>
                <w:sz w:val="24"/>
              </w:rPr>
              <w:t>≥5</w:t>
            </w:r>
          </w:p>
        </w:tc>
      </w:tr>
    </w:tbl>
    <w:p w14:paraId="0B079705">
      <w:pPr>
        <w:spacing w:line="500" w:lineRule="exact"/>
        <w:rPr>
          <w:rFonts w:ascii="宋体" w:hAnsi="宋体"/>
          <w:b/>
          <w:sz w:val="24"/>
        </w:rPr>
      </w:pPr>
    </w:p>
    <w:p w14:paraId="1EC0FF4F">
      <w:pPr>
        <w:spacing w:line="500" w:lineRule="exact"/>
        <w:ind w:firstLine="200"/>
        <w:rPr>
          <w:rFonts w:ascii="宋体" w:hAnsi="宋体"/>
          <w:b/>
          <w:sz w:val="28"/>
          <w:szCs w:val="28"/>
        </w:rPr>
      </w:pPr>
      <w:r>
        <w:rPr>
          <w:rFonts w:hint="eastAsia" w:ascii="宋体" w:hAnsi="宋体"/>
          <w:b/>
          <w:sz w:val="28"/>
          <w:szCs w:val="28"/>
        </w:rPr>
        <w:t>3、考核方式</w:t>
      </w:r>
    </w:p>
    <w:p w14:paraId="61FE5F9B">
      <w:pPr>
        <w:spacing w:line="500" w:lineRule="exact"/>
        <w:ind w:firstLine="560" w:firstLineChars="200"/>
        <w:rPr>
          <w:rFonts w:ascii="宋体" w:hAnsi="宋体"/>
          <w:sz w:val="28"/>
          <w:szCs w:val="28"/>
        </w:rPr>
      </w:pPr>
      <w:r>
        <w:rPr>
          <w:rFonts w:hint="eastAsia" w:ascii="宋体" w:hAnsi="宋体"/>
          <w:sz w:val="28"/>
          <w:szCs w:val="28"/>
        </w:rPr>
        <w:t>实行季度考核与日常巡查（即不定期考核）、督查相结合的方式。采取随机抽样检查（抽检样块面积占总样块面积的比例不低于30%）；</w:t>
      </w:r>
    </w:p>
    <w:p w14:paraId="5F832B00">
      <w:pPr>
        <w:spacing w:line="500" w:lineRule="exact"/>
        <w:ind w:firstLine="560" w:firstLineChars="200"/>
        <w:rPr>
          <w:rFonts w:ascii="宋体" w:hAnsi="宋体"/>
          <w:sz w:val="28"/>
          <w:szCs w:val="28"/>
        </w:rPr>
      </w:pPr>
      <w:r>
        <w:rPr>
          <w:rFonts w:hint="eastAsia" w:ascii="宋体" w:hAnsi="宋体"/>
          <w:sz w:val="28"/>
          <w:szCs w:val="28"/>
        </w:rPr>
        <w:t>日常检查中发书面整改通知1次，即扣200—500元，且书面整改通知书实行月累计制，当月收到书面整改通知书3次，该管养单位所有绿地的月考核不得进入优良序列。若针对某一问题的书面整改通知在整改期限内仍未完成整改，则加倍处罚。以下每项问题，将作为发书面整改通知的依据：</w:t>
      </w:r>
    </w:p>
    <w:p w14:paraId="2F51677B">
      <w:pPr>
        <w:spacing w:line="500" w:lineRule="exact"/>
        <w:jc w:val="left"/>
        <w:rPr>
          <w:rFonts w:ascii="宋体" w:hAnsi="宋体"/>
          <w:sz w:val="28"/>
          <w:szCs w:val="28"/>
        </w:rPr>
      </w:pPr>
      <w:r>
        <w:rPr>
          <w:rFonts w:hint="eastAsia" w:ascii="宋体" w:hAnsi="宋体"/>
          <w:sz w:val="28"/>
          <w:szCs w:val="28"/>
        </w:rPr>
        <w:t xml:space="preserve">   （1）道路及公园乔木、灌木每年修剪达不到一次，花草色带每年修剪达不到六次；</w:t>
      </w:r>
    </w:p>
    <w:p w14:paraId="54FE95F4">
      <w:pPr>
        <w:spacing w:line="500" w:lineRule="exact"/>
        <w:ind w:left="280"/>
        <w:rPr>
          <w:rFonts w:ascii="宋体" w:hAnsi="宋体"/>
          <w:sz w:val="28"/>
          <w:szCs w:val="28"/>
        </w:rPr>
      </w:pPr>
      <w:r>
        <w:rPr>
          <w:rFonts w:hint="eastAsia" w:ascii="宋体" w:hAnsi="宋体"/>
          <w:sz w:val="28"/>
          <w:szCs w:val="28"/>
        </w:rPr>
        <w:t xml:space="preserve"> （2）一个责任片内发现一处电线下的树枝未及时修剪；</w:t>
      </w:r>
    </w:p>
    <w:p w14:paraId="0E422C98">
      <w:pPr>
        <w:spacing w:line="500" w:lineRule="exact"/>
        <w:ind w:firstLine="280" w:firstLineChars="100"/>
        <w:rPr>
          <w:rFonts w:ascii="宋体" w:hAnsi="宋体"/>
          <w:sz w:val="28"/>
          <w:szCs w:val="28"/>
        </w:rPr>
      </w:pPr>
      <w:r>
        <w:rPr>
          <w:rFonts w:hint="eastAsia" w:ascii="宋体" w:hAnsi="宋体"/>
          <w:sz w:val="28"/>
          <w:szCs w:val="28"/>
        </w:rPr>
        <w:t xml:space="preserve"> （3）一个责任片内，因养护不当造成苗木枯死的：胸径20厘米以上乔木或冠幅250厘米以上的灌木1株；绿篱、地被类10平方米；胸径20厘米以下乔木或冠幅250厘米以下的灌木3株。（不含当年新  植苗木）</w:t>
      </w:r>
    </w:p>
    <w:p w14:paraId="2F94CDA1">
      <w:pPr>
        <w:spacing w:line="500" w:lineRule="exact"/>
        <w:ind w:firstLine="280" w:firstLineChars="100"/>
        <w:rPr>
          <w:rFonts w:ascii="宋体" w:hAnsi="宋体"/>
          <w:sz w:val="28"/>
          <w:szCs w:val="28"/>
        </w:rPr>
      </w:pPr>
      <w:r>
        <w:rPr>
          <w:rFonts w:hint="eastAsia" w:ascii="宋体" w:hAnsi="宋体"/>
          <w:sz w:val="28"/>
          <w:szCs w:val="28"/>
        </w:rPr>
        <w:t xml:space="preserve"> （4）未及时采取抗旱措施，造成绿化枯稍等严重影响景观效果的，一个责任片内树木3株以上或绿篱、地被类20平方米以上。</w:t>
      </w:r>
    </w:p>
    <w:p w14:paraId="24624111">
      <w:pPr>
        <w:spacing w:line="480" w:lineRule="exact"/>
        <w:ind w:firstLine="280" w:firstLineChars="100"/>
        <w:rPr>
          <w:rFonts w:ascii="宋体" w:hAnsi="宋体"/>
          <w:sz w:val="28"/>
          <w:szCs w:val="28"/>
        </w:rPr>
      </w:pPr>
      <w:r>
        <w:rPr>
          <w:rFonts w:hint="eastAsia" w:ascii="宋体" w:hAnsi="宋体"/>
          <w:sz w:val="28"/>
          <w:szCs w:val="28"/>
        </w:rPr>
        <w:t xml:space="preserve"> （5）病虫害未及时防治的，造成病虫危害并影响观赏效果：大树  （乔木胸径15厘米以上）5株；灌木（冠幅200厘米以上的）5株；其他规格乔灌木10株；绿篱、地被类10平方米。</w:t>
      </w:r>
    </w:p>
    <w:p w14:paraId="01B8D3AF">
      <w:pPr>
        <w:spacing w:line="480" w:lineRule="exact"/>
        <w:ind w:firstLine="280" w:firstLineChars="100"/>
        <w:rPr>
          <w:rFonts w:ascii="宋体" w:hAnsi="宋体"/>
          <w:sz w:val="28"/>
          <w:szCs w:val="28"/>
        </w:rPr>
      </w:pPr>
      <w:r>
        <w:rPr>
          <w:rFonts w:hint="eastAsia" w:ascii="宋体" w:hAnsi="宋体"/>
          <w:sz w:val="28"/>
          <w:szCs w:val="28"/>
        </w:rPr>
        <w:t xml:space="preserve"> （6）草坪达30平方米以上未及时修剪或修剪过低的：冷季型草坪草高超过18厘米或低于5厘米的，暖季型草坪草高超过10厘米或低于3厘米的。</w:t>
      </w:r>
    </w:p>
    <w:p w14:paraId="37A2C748">
      <w:pPr>
        <w:spacing w:line="480" w:lineRule="exact"/>
        <w:ind w:firstLine="280" w:firstLineChars="100"/>
        <w:rPr>
          <w:rFonts w:ascii="宋体" w:hAnsi="宋体"/>
          <w:sz w:val="28"/>
          <w:szCs w:val="28"/>
        </w:rPr>
      </w:pPr>
      <w:r>
        <w:rPr>
          <w:rFonts w:hint="eastAsia" w:ascii="宋体" w:hAnsi="宋体"/>
          <w:sz w:val="28"/>
          <w:szCs w:val="28"/>
        </w:rPr>
        <w:t xml:space="preserve"> （7）成坪草坪内的大型异类杂草率超过5％；绿篱内杂草率超过5％或杂草高度已超过矮篱。</w:t>
      </w:r>
    </w:p>
    <w:p w14:paraId="735786D4">
      <w:pPr>
        <w:spacing w:line="480" w:lineRule="exact"/>
        <w:ind w:firstLine="280" w:firstLineChars="100"/>
        <w:rPr>
          <w:rFonts w:ascii="宋体" w:hAnsi="宋体"/>
          <w:sz w:val="28"/>
          <w:szCs w:val="28"/>
        </w:rPr>
      </w:pPr>
      <w:r>
        <w:rPr>
          <w:rFonts w:hint="eastAsia" w:ascii="宋体" w:hAnsi="宋体"/>
          <w:sz w:val="28"/>
          <w:szCs w:val="28"/>
        </w:rPr>
        <w:t xml:space="preserve"> （8）一个责任片内，树木枯枝、枯叶未修剪达3株以上；乔木根部萌条未抹芽达3株以上。</w:t>
      </w:r>
    </w:p>
    <w:p w14:paraId="1B2C6E5B">
      <w:pPr>
        <w:spacing w:line="480" w:lineRule="exact"/>
        <w:ind w:firstLine="280" w:firstLineChars="100"/>
        <w:rPr>
          <w:rFonts w:ascii="宋体" w:hAnsi="宋体"/>
          <w:sz w:val="28"/>
          <w:szCs w:val="28"/>
        </w:rPr>
      </w:pPr>
      <w:r>
        <w:rPr>
          <w:rFonts w:hint="eastAsia" w:ascii="宋体" w:hAnsi="宋体"/>
          <w:sz w:val="28"/>
          <w:szCs w:val="28"/>
        </w:rPr>
        <w:t xml:space="preserve"> （9）花灌木未及时进行整形修剪的。</w:t>
      </w:r>
    </w:p>
    <w:p w14:paraId="6A70900E">
      <w:pPr>
        <w:spacing w:line="480" w:lineRule="exact"/>
        <w:ind w:firstLine="280" w:firstLineChars="100"/>
        <w:rPr>
          <w:rFonts w:ascii="宋体" w:hAnsi="宋体"/>
          <w:sz w:val="28"/>
          <w:szCs w:val="28"/>
        </w:rPr>
      </w:pPr>
      <w:r>
        <w:rPr>
          <w:rFonts w:hint="eastAsia" w:ascii="宋体" w:hAnsi="宋体"/>
          <w:sz w:val="28"/>
          <w:szCs w:val="28"/>
        </w:rPr>
        <w:t xml:space="preserve"> （10）定型绿篱修剪不及时，一个责任片内，每平方米绿篱嫩条高度超过10厘米达5根以上的。</w:t>
      </w:r>
    </w:p>
    <w:p w14:paraId="4B4694A1">
      <w:pPr>
        <w:spacing w:line="480" w:lineRule="exact"/>
        <w:ind w:firstLine="280" w:firstLineChars="100"/>
        <w:rPr>
          <w:rFonts w:ascii="宋体" w:hAnsi="宋体"/>
          <w:sz w:val="28"/>
          <w:szCs w:val="28"/>
        </w:rPr>
      </w:pPr>
      <w:r>
        <w:rPr>
          <w:rFonts w:hint="eastAsia" w:ascii="宋体" w:hAnsi="宋体"/>
          <w:sz w:val="28"/>
          <w:szCs w:val="28"/>
        </w:rPr>
        <w:t xml:space="preserve"> （11）片植绿篱修剪未带线修剪；或绿篱修剪不平整影响景观效果；定型绿篱修剪后高度超过规定标准的。</w:t>
      </w:r>
    </w:p>
    <w:p w14:paraId="137E410C">
      <w:pPr>
        <w:spacing w:line="480" w:lineRule="exact"/>
        <w:ind w:firstLine="280" w:firstLineChars="100"/>
        <w:rPr>
          <w:rFonts w:ascii="宋体" w:hAnsi="宋体"/>
          <w:sz w:val="28"/>
          <w:szCs w:val="28"/>
        </w:rPr>
      </w:pPr>
      <w:r>
        <w:rPr>
          <w:rFonts w:hint="eastAsia" w:ascii="宋体" w:hAnsi="宋体"/>
          <w:sz w:val="28"/>
          <w:szCs w:val="28"/>
        </w:rPr>
        <w:t xml:space="preserve"> （12）需逐步放高的矮篱蹿条高度超过新萌发平面10厘米达10平方米的。</w:t>
      </w:r>
    </w:p>
    <w:p w14:paraId="73933BA5">
      <w:pPr>
        <w:spacing w:line="480" w:lineRule="exact"/>
        <w:ind w:firstLine="280" w:firstLineChars="100"/>
        <w:rPr>
          <w:rFonts w:ascii="宋体" w:hAnsi="宋体"/>
          <w:sz w:val="28"/>
          <w:szCs w:val="28"/>
        </w:rPr>
      </w:pPr>
      <w:r>
        <w:rPr>
          <w:rFonts w:hint="eastAsia" w:ascii="宋体" w:hAnsi="宋体"/>
          <w:sz w:val="28"/>
          <w:szCs w:val="28"/>
        </w:rPr>
        <w:t xml:space="preserve"> （13）草坪过火面积超过20 平方米或草坪过火后1日内仍未采取修剪、浇灌等处理措施的。</w:t>
      </w:r>
    </w:p>
    <w:p w14:paraId="19A4113B">
      <w:pPr>
        <w:spacing w:line="480" w:lineRule="exact"/>
        <w:ind w:firstLine="280" w:firstLineChars="100"/>
        <w:rPr>
          <w:rFonts w:ascii="宋体" w:hAnsi="宋体"/>
          <w:sz w:val="28"/>
          <w:szCs w:val="28"/>
        </w:rPr>
      </w:pPr>
      <w:r>
        <w:rPr>
          <w:rFonts w:hint="eastAsia" w:ascii="宋体" w:hAnsi="宋体"/>
          <w:sz w:val="28"/>
          <w:szCs w:val="28"/>
        </w:rPr>
        <w:t xml:space="preserve"> （14）绿地内有枯死树1周内未清理或因外力造成乔灌木严重歪斜、倒伏24小时内未扶正的。</w:t>
      </w:r>
    </w:p>
    <w:p w14:paraId="02F0DB4C">
      <w:pPr>
        <w:spacing w:line="480" w:lineRule="exact"/>
        <w:ind w:firstLine="280" w:firstLineChars="100"/>
        <w:rPr>
          <w:rFonts w:ascii="宋体" w:hAnsi="宋体"/>
          <w:sz w:val="28"/>
          <w:szCs w:val="28"/>
        </w:rPr>
      </w:pPr>
      <w:r>
        <w:rPr>
          <w:rFonts w:hint="eastAsia" w:ascii="宋体" w:hAnsi="宋体"/>
          <w:sz w:val="28"/>
          <w:szCs w:val="28"/>
        </w:rPr>
        <w:t xml:space="preserve"> （15）草花坛花卉过了观赏期，枯萎花卉3天内未清理完的。</w:t>
      </w:r>
    </w:p>
    <w:p w14:paraId="1F0B2218">
      <w:pPr>
        <w:spacing w:line="480" w:lineRule="exact"/>
        <w:ind w:firstLine="280" w:firstLineChars="100"/>
        <w:rPr>
          <w:rFonts w:ascii="宋体" w:hAnsi="宋体"/>
          <w:sz w:val="28"/>
          <w:szCs w:val="28"/>
        </w:rPr>
      </w:pPr>
      <w:r>
        <w:rPr>
          <w:rFonts w:hint="eastAsia" w:ascii="宋体" w:hAnsi="宋体"/>
          <w:sz w:val="28"/>
          <w:szCs w:val="28"/>
        </w:rPr>
        <w:t xml:space="preserve"> （16）施肥、刷白、松士等养护措施未在规定时间内完成或未按规定标准实施的。</w:t>
      </w:r>
    </w:p>
    <w:p w14:paraId="7CE6FEA2">
      <w:pPr>
        <w:spacing w:line="480" w:lineRule="exact"/>
        <w:ind w:firstLine="280" w:firstLineChars="100"/>
        <w:rPr>
          <w:rFonts w:ascii="宋体" w:hAnsi="宋体"/>
          <w:sz w:val="28"/>
          <w:szCs w:val="28"/>
        </w:rPr>
      </w:pPr>
      <w:r>
        <w:rPr>
          <w:rFonts w:hint="eastAsia" w:ascii="宋体" w:hAnsi="宋体"/>
          <w:sz w:val="28"/>
          <w:szCs w:val="28"/>
        </w:rPr>
        <w:t xml:space="preserve"> （17）绿篱、草坪修剪后的残留枝叶当日内末清理完的；修剪明显不平整的。</w:t>
      </w:r>
    </w:p>
    <w:p w14:paraId="7BC0A4C7">
      <w:pPr>
        <w:spacing w:line="480" w:lineRule="exact"/>
        <w:ind w:firstLine="280" w:firstLineChars="100"/>
        <w:rPr>
          <w:rFonts w:ascii="宋体" w:hAnsi="宋体"/>
          <w:sz w:val="28"/>
          <w:szCs w:val="28"/>
        </w:rPr>
      </w:pPr>
      <w:r>
        <w:rPr>
          <w:rFonts w:hint="eastAsia" w:ascii="宋体" w:hAnsi="宋体"/>
          <w:sz w:val="28"/>
          <w:szCs w:val="28"/>
        </w:rPr>
        <w:t xml:space="preserve"> （18）焚烧垃圾或垃圾未日产日清的。</w:t>
      </w:r>
    </w:p>
    <w:p w14:paraId="23581FCC">
      <w:pPr>
        <w:spacing w:line="480" w:lineRule="exact"/>
        <w:ind w:firstLine="280" w:firstLineChars="100"/>
        <w:rPr>
          <w:rFonts w:ascii="宋体" w:hAnsi="宋体"/>
          <w:sz w:val="28"/>
          <w:szCs w:val="28"/>
        </w:rPr>
      </w:pPr>
      <w:r>
        <w:rPr>
          <w:rFonts w:hint="eastAsia" w:ascii="宋体" w:hAnsi="宋体"/>
          <w:sz w:val="28"/>
          <w:szCs w:val="28"/>
        </w:rPr>
        <w:t xml:space="preserve"> （19）在大树修剪、砍伐、移植等作业时未采取安全措施的。</w:t>
      </w:r>
    </w:p>
    <w:p w14:paraId="6505B9EE">
      <w:pPr>
        <w:spacing w:line="480" w:lineRule="exact"/>
        <w:ind w:firstLine="280" w:firstLineChars="100"/>
        <w:rPr>
          <w:rFonts w:ascii="宋体" w:hAnsi="宋体"/>
          <w:sz w:val="28"/>
          <w:szCs w:val="28"/>
        </w:rPr>
      </w:pPr>
      <w:r>
        <w:rPr>
          <w:rFonts w:hint="eastAsia" w:ascii="宋体" w:hAnsi="宋体"/>
          <w:sz w:val="28"/>
          <w:szCs w:val="28"/>
        </w:rPr>
        <w:t xml:space="preserve"> （20）有采花、折枝、践踏等损坏园林绿化行为或破坏园林设施行为，未及时制止的。</w:t>
      </w:r>
    </w:p>
    <w:p w14:paraId="70B4EC4D">
      <w:pPr>
        <w:spacing w:line="480" w:lineRule="exact"/>
        <w:ind w:firstLine="280" w:firstLineChars="100"/>
        <w:rPr>
          <w:rFonts w:ascii="宋体" w:hAnsi="宋体"/>
          <w:sz w:val="28"/>
          <w:szCs w:val="28"/>
        </w:rPr>
      </w:pPr>
      <w:r>
        <w:rPr>
          <w:rFonts w:hint="eastAsia" w:ascii="宋体" w:hAnsi="宋体"/>
          <w:sz w:val="28"/>
          <w:szCs w:val="28"/>
        </w:rPr>
        <w:t>（21）对擅自砍伐、移植、损坏树木、侵占绿化用地的行为未予以制止未及时上报的。</w:t>
      </w:r>
    </w:p>
    <w:p w14:paraId="46292D4B">
      <w:pPr>
        <w:spacing w:line="480" w:lineRule="exact"/>
        <w:ind w:firstLine="280" w:firstLineChars="100"/>
        <w:rPr>
          <w:rFonts w:ascii="宋体" w:hAnsi="宋体"/>
          <w:sz w:val="28"/>
          <w:szCs w:val="28"/>
        </w:rPr>
      </w:pPr>
      <w:r>
        <w:rPr>
          <w:rFonts w:hint="eastAsia" w:ascii="宋体" w:hAnsi="宋体"/>
          <w:sz w:val="28"/>
          <w:szCs w:val="28"/>
        </w:rPr>
        <w:t>（22）花坛、侧石、廊架等园林设施破损在半个月内未完成维修的（不含道路侧石）</w:t>
      </w:r>
    </w:p>
    <w:p w14:paraId="0AD5C9DD">
      <w:pPr>
        <w:spacing w:line="480" w:lineRule="exact"/>
        <w:ind w:firstLine="280" w:firstLineChars="100"/>
        <w:rPr>
          <w:rFonts w:ascii="宋体" w:hAnsi="宋体"/>
          <w:sz w:val="28"/>
          <w:szCs w:val="28"/>
        </w:rPr>
      </w:pPr>
      <w:r>
        <w:rPr>
          <w:rFonts w:hint="eastAsia" w:ascii="宋体" w:hAnsi="宋体"/>
          <w:sz w:val="28"/>
          <w:szCs w:val="28"/>
        </w:rPr>
        <w:t xml:space="preserve"> （23）被电台、电视台、报纸等新闻媒体曝光，或被市民及相关部门投诉，经调查确有责任的。</w:t>
      </w:r>
    </w:p>
    <w:p w14:paraId="5AFF0895">
      <w:pPr>
        <w:spacing w:line="480" w:lineRule="exact"/>
        <w:ind w:firstLine="280" w:firstLineChars="100"/>
        <w:rPr>
          <w:rFonts w:ascii="宋体" w:hAnsi="宋体"/>
          <w:sz w:val="28"/>
          <w:szCs w:val="28"/>
        </w:rPr>
      </w:pPr>
      <w:r>
        <w:rPr>
          <w:rFonts w:hint="eastAsia" w:ascii="宋体" w:hAnsi="宋体"/>
          <w:sz w:val="28"/>
          <w:szCs w:val="28"/>
        </w:rPr>
        <w:t xml:space="preserve"> （24）针对同一责任片内，同一类问题月累计口头通知次数在3次以上的。</w:t>
      </w:r>
    </w:p>
    <w:p w14:paraId="22A67B0A">
      <w:pPr>
        <w:spacing w:line="480" w:lineRule="exact"/>
        <w:ind w:firstLine="280" w:firstLineChars="100"/>
        <w:rPr>
          <w:rFonts w:ascii="宋体" w:hAnsi="宋体"/>
          <w:sz w:val="28"/>
          <w:szCs w:val="28"/>
        </w:rPr>
      </w:pPr>
      <w:r>
        <w:rPr>
          <w:rFonts w:hint="eastAsia" w:ascii="宋体" w:hAnsi="宋体"/>
          <w:sz w:val="28"/>
          <w:szCs w:val="28"/>
        </w:rPr>
        <w:t xml:space="preserve"> （25）在一个责任片内，月累计口头通知次数达10次的。</w:t>
      </w:r>
    </w:p>
    <w:p w14:paraId="19FA7E09">
      <w:pPr>
        <w:spacing w:line="480" w:lineRule="exact"/>
        <w:ind w:firstLine="280" w:firstLineChars="100"/>
        <w:rPr>
          <w:rFonts w:ascii="宋体" w:hAnsi="宋体"/>
          <w:sz w:val="28"/>
          <w:szCs w:val="28"/>
        </w:rPr>
      </w:pPr>
      <w:r>
        <w:rPr>
          <w:rFonts w:hint="eastAsia" w:ascii="宋体" w:hAnsi="宋体"/>
          <w:sz w:val="28"/>
          <w:szCs w:val="28"/>
        </w:rPr>
        <w:t xml:space="preserve"> （26）养护单位在规定限期内未整改到位；或书面整改期限内未将整改情况及时反馈考核部门的。</w:t>
      </w:r>
    </w:p>
    <w:p w14:paraId="7147F9C5">
      <w:pPr>
        <w:spacing w:line="480" w:lineRule="exact"/>
        <w:ind w:firstLine="280" w:firstLineChars="100"/>
        <w:rPr>
          <w:rFonts w:ascii="宋体" w:hAnsi="宋体"/>
          <w:sz w:val="28"/>
          <w:szCs w:val="28"/>
        </w:rPr>
      </w:pPr>
      <w:r>
        <w:rPr>
          <w:rFonts w:hint="eastAsia" w:ascii="宋体" w:hAnsi="宋体"/>
          <w:sz w:val="28"/>
          <w:szCs w:val="28"/>
        </w:rPr>
        <w:t xml:space="preserve"> （27）养护管理责任单位考核记录流于形式；或不能发现严重问题的。</w:t>
      </w:r>
    </w:p>
    <w:p w14:paraId="28A0B109">
      <w:pPr>
        <w:spacing w:line="480" w:lineRule="exact"/>
        <w:ind w:firstLine="280" w:firstLineChars="100"/>
        <w:rPr>
          <w:rFonts w:ascii="宋体" w:hAnsi="宋体"/>
          <w:sz w:val="28"/>
          <w:szCs w:val="28"/>
        </w:rPr>
      </w:pPr>
      <w:r>
        <w:rPr>
          <w:rFonts w:hint="eastAsia" w:ascii="宋体" w:hAnsi="宋体"/>
          <w:sz w:val="28"/>
          <w:szCs w:val="28"/>
        </w:rPr>
        <w:t xml:space="preserve"> （28）对社会投拆、媒体曝光等重点管养问题的督察，一经核实，视情节严重情况，每起每次扣2000-3000元。 </w:t>
      </w:r>
    </w:p>
    <w:p w14:paraId="2CA3E4DC">
      <w:pPr>
        <w:spacing w:line="480" w:lineRule="exact"/>
        <w:ind w:firstLine="200"/>
        <w:rPr>
          <w:rFonts w:ascii="宋体" w:hAnsi="宋体"/>
          <w:b/>
          <w:sz w:val="28"/>
          <w:szCs w:val="28"/>
        </w:rPr>
      </w:pPr>
      <w:r>
        <w:rPr>
          <w:rFonts w:hint="eastAsia" w:ascii="宋体" w:hAnsi="宋体"/>
          <w:b/>
          <w:sz w:val="28"/>
          <w:szCs w:val="28"/>
        </w:rPr>
        <w:t xml:space="preserve">   4、考核程序</w:t>
      </w:r>
    </w:p>
    <w:p w14:paraId="5C46CA8F">
      <w:pPr>
        <w:spacing w:line="480" w:lineRule="exact"/>
        <w:ind w:firstLine="562" w:firstLineChars="200"/>
        <w:rPr>
          <w:rFonts w:ascii="宋体" w:hAnsi="宋体"/>
          <w:sz w:val="28"/>
          <w:szCs w:val="28"/>
        </w:rPr>
      </w:pPr>
      <w:r>
        <w:rPr>
          <w:rFonts w:hint="eastAsia" w:ascii="宋体" w:hAnsi="宋体"/>
          <w:b/>
          <w:bCs/>
          <w:sz w:val="28"/>
          <w:szCs w:val="28"/>
        </w:rPr>
        <w:t>4.1日常巡查</w:t>
      </w:r>
    </w:p>
    <w:p w14:paraId="6E0CEC42">
      <w:pPr>
        <w:spacing w:line="480" w:lineRule="exact"/>
        <w:ind w:firstLine="560" w:firstLineChars="200"/>
        <w:rPr>
          <w:rFonts w:ascii="宋体" w:hAnsi="宋体"/>
          <w:sz w:val="28"/>
          <w:szCs w:val="28"/>
        </w:rPr>
      </w:pPr>
      <w:r>
        <w:rPr>
          <w:rFonts w:hint="eastAsia" w:ascii="宋体" w:hAnsi="宋体"/>
          <w:sz w:val="28"/>
          <w:szCs w:val="28"/>
        </w:rPr>
        <w:t>4.1.1 考核单位每周对各标段的管理情况（包括绿化养护情况、人员到岗到位、统一着装等）进行不定时的明察暗访，发现问题记录存档并按考核项目规定的分值比例直接扣分，并及时向养护单位下发整改通知书，明确完成时间。</w:t>
      </w:r>
    </w:p>
    <w:p w14:paraId="285F6132">
      <w:pPr>
        <w:spacing w:line="480" w:lineRule="exact"/>
        <w:ind w:firstLine="560" w:firstLineChars="200"/>
        <w:rPr>
          <w:rFonts w:ascii="宋体" w:hAnsi="宋体"/>
          <w:sz w:val="28"/>
          <w:szCs w:val="28"/>
        </w:rPr>
      </w:pPr>
      <w:r>
        <w:rPr>
          <w:rFonts w:hint="eastAsia" w:ascii="宋体" w:hAnsi="宋体"/>
          <w:sz w:val="28"/>
          <w:szCs w:val="28"/>
        </w:rPr>
        <w:t>4.1.2 下达的阶段性工作不能按要求完成的，可直接扣除相应的分值。</w:t>
      </w:r>
    </w:p>
    <w:p w14:paraId="018FBEC0">
      <w:pPr>
        <w:spacing w:line="480" w:lineRule="exact"/>
        <w:ind w:firstLine="560" w:firstLineChars="200"/>
        <w:rPr>
          <w:rFonts w:ascii="宋体" w:hAnsi="宋体"/>
          <w:sz w:val="28"/>
          <w:szCs w:val="28"/>
        </w:rPr>
      </w:pPr>
      <w:r>
        <w:rPr>
          <w:rFonts w:hint="eastAsia" w:ascii="宋体" w:hAnsi="宋体"/>
          <w:sz w:val="28"/>
          <w:szCs w:val="28"/>
        </w:rPr>
        <w:t xml:space="preserve">4.1.3  养护单位管理失当，受到上级领导点名批评或有新闻媒体负面报道的，考核成绩直接扣分，可累计扣分。 </w:t>
      </w:r>
    </w:p>
    <w:p w14:paraId="20798950">
      <w:pPr>
        <w:spacing w:line="480" w:lineRule="exact"/>
        <w:ind w:firstLine="562" w:firstLineChars="200"/>
        <w:rPr>
          <w:rFonts w:ascii="宋体" w:hAnsi="宋体"/>
          <w:sz w:val="28"/>
          <w:szCs w:val="28"/>
        </w:rPr>
      </w:pPr>
      <w:r>
        <w:rPr>
          <w:rFonts w:hint="eastAsia" w:ascii="宋体" w:hAnsi="宋体"/>
          <w:b/>
          <w:bCs/>
          <w:sz w:val="28"/>
          <w:szCs w:val="28"/>
        </w:rPr>
        <w:t>4.2  督查</w:t>
      </w:r>
      <w:r>
        <w:rPr>
          <w:rFonts w:hint="eastAsia" w:ascii="宋体" w:hAnsi="宋体"/>
          <w:sz w:val="28"/>
          <w:szCs w:val="28"/>
        </w:rPr>
        <w:t xml:space="preserve">  随时对养护企业的养护管理工作进行监督检查；</w:t>
      </w:r>
    </w:p>
    <w:p w14:paraId="76271D2D">
      <w:pPr>
        <w:spacing w:line="480" w:lineRule="exact"/>
        <w:ind w:firstLine="562" w:firstLineChars="200"/>
        <w:rPr>
          <w:rFonts w:ascii="宋体" w:hAnsi="宋体"/>
          <w:sz w:val="28"/>
          <w:szCs w:val="28"/>
        </w:rPr>
      </w:pPr>
      <w:r>
        <w:rPr>
          <w:rFonts w:hint="eastAsia" w:ascii="宋体" w:hAnsi="宋体"/>
          <w:b/>
          <w:bCs/>
          <w:sz w:val="28"/>
          <w:szCs w:val="28"/>
        </w:rPr>
        <w:t>4.3 季度考核</w:t>
      </w:r>
      <w:r>
        <w:rPr>
          <w:rFonts w:hint="eastAsia" w:ascii="宋体" w:hAnsi="宋体"/>
          <w:sz w:val="28"/>
          <w:szCs w:val="28"/>
        </w:rPr>
        <w:t xml:space="preserve">   随机抽取检查考核绿地样块→现场检查→考核评分→计算结果→扣罚通知→公布结果→备案。</w:t>
      </w:r>
    </w:p>
    <w:p w14:paraId="11B6EF5B">
      <w:pPr>
        <w:spacing w:line="480" w:lineRule="exact"/>
        <w:ind w:firstLine="200"/>
        <w:rPr>
          <w:rFonts w:ascii="宋体" w:hAnsi="宋体"/>
          <w:b/>
          <w:sz w:val="28"/>
          <w:szCs w:val="28"/>
        </w:rPr>
      </w:pPr>
      <w:r>
        <w:rPr>
          <w:rFonts w:hint="eastAsia" w:ascii="宋体" w:hAnsi="宋体"/>
          <w:b/>
          <w:sz w:val="28"/>
          <w:szCs w:val="28"/>
        </w:rPr>
        <w:t xml:space="preserve">   5、考核办法</w:t>
      </w:r>
    </w:p>
    <w:p w14:paraId="1719BF22">
      <w:pPr>
        <w:spacing w:line="480" w:lineRule="exact"/>
        <w:ind w:firstLine="420" w:firstLineChars="150"/>
        <w:rPr>
          <w:rFonts w:ascii="宋体" w:hAnsi="宋体"/>
          <w:sz w:val="28"/>
          <w:szCs w:val="28"/>
        </w:rPr>
      </w:pPr>
      <w:r>
        <w:rPr>
          <w:rFonts w:hint="eastAsia" w:ascii="宋体" w:hAnsi="宋体"/>
          <w:sz w:val="28"/>
          <w:szCs w:val="28"/>
        </w:rPr>
        <w:t xml:space="preserve"> （1）城市养护管理考核分为：优良级95分以上（含95分）、合格级75-95分（含80分）、不合格级75分以下（不含75分）三个等级。</w:t>
      </w:r>
    </w:p>
    <w:p w14:paraId="1A4624B9">
      <w:pPr>
        <w:spacing w:line="480" w:lineRule="exact"/>
        <w:ind w:firstLine="420" w:firstLineChars="150"/>
        <w:rPr>
          <w:rFonts w:ascii="宋体" w:hAnsi="宋体"/>
          <w:sz w:val="28"/>
          <w:szCs w:val="28"/>
        </w:rPr>
      </w:pPr>
      <w:r>
        <w:rPr>
          <w:rFonts w:hint="eastAsia" w:ascii="宋体" w:hAnsi="宋体"/>
          <w:sz w:val="28"/>
          <w:szCs w:val="28"/>
        </w:rPr>
        <w:t>（2）季度考核，依据检查考核情况于下季度10日前（节假日顺延）拨付承包方上月养护经费；即季度考核得分在95分以上（含95分），月养护经费全额拨付；得分在75分-95分（含80分）之间的，与95分比较，每下降1分，季度养护经费扣除200元，以此类推；得分在75分以下（不含80分），当月月养护经费按60%支付，连续超过二次75分以下，业主将终止合同。</w:t>
      </w:r>
    </w:p>
    <w:p w14:paraId="644B40D0">
      <w:pPr>
        <w:spacing w:line="480" w:lineRule="exact"/>
        <w:rPr>
          <w:rFonts w:ascii="宋体" w:hAnsi="宋体"/>
          <w:sz w:val="28"/>
          <w:szCs w:val="28"/>
        </w:rPr>
      </w:pPr>
      <w:r>
        <w:rPr>
          <w:rFonts w:hint="eastAsia" w:ascii="宋体" w:hAnsi="宋体"/>
          <w:sz w:val="28"/>
          <w:szCs w:val="28"/>
        </w:rPr>
        <w:t xml:space="preserve">   （3）年终综合考评：全年中季度考核平均分在95分（含95分）以上，评为年度优良养护工程，奖励全年养护费的2%；在下一轮养护工程投标中作为加分的依据。</w:t>
      </w:r>
    </w:p>
    <w:p w14:paraId="5A715FF5">
      <w:pPr>
        <w:spacing w:line="480" w:lineRule="exact"/>
        <w:ind w:firstLine="420" w:firstLineChars="150"/>
        <w:rPr>
          <w:rFonts w:ascii="宋体" w:hAnsi="宋体"/>
          <w:sz w:val="28"/>
          <w:szCs w:val="28"/>
        </w:rPr>
      </w:pPr>
      <w:r>
        <w:rPr>
          <w:rFonts w:hint="eastAsia" w:ascii="宋体" w:hAnsi="宋体"/>
          <w:sz w:val="28"/>
          <w:szCs w:val="28"/>
        </w:rPr>
        <w:t>（4）对养护质量不符合标准，且2次要求不能整改到位的，或因在应急事件中，养护企业不能立即完成承包范围内应急事项时，园林局可直接委派其他队伍进行整改，所需费用按整改费用的2倍从承包经费中扣除。</w:t>
      </w:r>
    </w:p>
    <w:p w14:paraId="70CEE846">
      <w:pPr>
        <w:spacing w:line="480" w:lineRule="exact"/>
        <w:ind w:firstLine="420" w:firstLineChars="150"/>
        <w:rPr>
          <w:rFonts w:ascii="宋体" w:hAnsi="宋体"/>
          <w:sz w:val="28"/>
          <w:szCs w:val="28"/>
        </w:rPr>
      </w:pPr>
      <w:r>
        <w:rPr>
          <w:rFonts w:hint="eastAsia" w:ascii="宋体" w:hAnsi="宋体"/>
          <w:sz w:val="28"/>
          <w:szCs w:val="28"/>
        </w:rPr>
        <w:t>（5）养护企业应建立应急预案，包括应急小组、应急措施，应急设备和应急人员等，以适应和提高应急事件的处置能力。</w:t>
      </w:r>
    </w:p>
    <w:p w14:paraId="6CCA29D9">
      <w:pPr>
        <w:spacing w:line="480" w:lineRule="exact"/>
        <w:ind w:firstLine="422" w:firstLineChars="150"/>
        <w:rPr>
          <w:rFonts w:ascii="宋体" w:hAnsi="宋体"/>
          <w:b/>
          <w:sz w:val="28"/>
          <w:szCs w:val="28"/>
        </w:rPr>
      </w:pPr>
      <w:r>
        <w:rPr>
          <w:rFonts w:hint="eastAsia" w:ascii="宋体" w:hAnsi="宋体"/>
          <w:b/>
          <w:sz w:val="28"/>
          <w:szCs w:val="28"/>
        </w:rPr>
        <w:t xml:space="preserve"> 6、其他规定</w:t>
      </w:r>
    </w:p>
    <w:p w14:paraId="4F42C2A1">
      <w:pPr>
        <w:spacing w:line="480" w:lineRule="exact"/>
        <w:ind w:firstLine="422" w:firstLineChars="150"/>
        <w:rPr>
          <w:rFonts w:ascii="宋体" w:hAnsi="宋体"/>
          <w:b/>
          <w:bCs/>
          <w:sz w:val="28"/>
          <w:szCs w:val="28"/>
        </w:rPr>
      </w:pPr>
      <w:r>
        <w:rPr>
          <w:rFonts w:hint="eastAsia" w:ascii="宋体" w:hAnsi="宋体"/>
          <w:b/>
          <w:bCs/>
          <w:sz w:val="28"/>
          <w:szCs w:val="28"/>
        </w:rPr>
        <w:t xml:space="preserve"> 6.1 发生下列情况之一的将终止合同，并取消下次投标资格：</w:t>
      </w:r>
    </w:p>
    <w:p w14:paraId="74C8F7DF">
      <w:pPr>
        <w:spacing w:line="480" w:lineRule="exact"/>
        <w:ind w:firstLine="420" w:firstLineChars="150"/>
        <w:rPr>
          <w:rFonts w:ascii="宋体" w:hAnsi="宋体"/>
          <w:sz w:val="28"/>
          <w:szCs w:val="28"/>
        </w:rPr>
      </w:pPr>
      <w:r>
        <w:rPr>
          <w:rFonts w:hint="eastAsia" w:ascii="宋体" w:hAnsi="宋体"/>
          <w:sz w:val="28"/>
          <w:szCs w:val="28"/>
        </w:rPr>
        <w:t xml:space="preserve"> 6.1.1 检查考核过程中，发现有转包和分包行为的；</w:t>
      </w:r>
    </w:p>
    <w:p w14:paraId="11DDF288">
      <w:pPr>
        <w:spacing w:line="480" w:lineRule="exact"/>
        <w:ind w:firstLine="420" w:firstLineChars="150"/>
        <w:rPr>
          <w:rFonts w:ascii="宋体" w:hAnsi="宋体"/>
          <w:sz w:val="28"/>
          <w:szCs w:val="28"/>
        </w:rPr>
      </w:pPr>
      <w:r>
        <w:rPr>
          <w:rFonts w:hint="eastAsia" w:ascii="宋体" w:hAnsi="宋体"/>
          <w:sz w:val="28"/>
          <w:szCs w:val="28"/>
        </w:rPr>
        <w:t xml:space="preserve"> 6.1.2 合同期内不服从管理单位管理的；</w:t>
      </w:r>
    </w:p>
    <w:p w14:paraId="667D0067">
      <w:pPr>
        <w:spacing w:line="480" w:lineRule="exact"/>
        <w:ind w:firstLine="420" w:firstLineChars="150"/>
        <w:rPr>
          <w:rFonts w:ascii="宋体" w:hAnsi="宋体"/>
          <w:sz w:val="28"/>
          <w:szCs w:val="28"/>
        </w:rPr>
      </w:pPr>
      <w:r>
        <w:rPr>
          <w:rFonts w:hint="eastAsia" w:ascii="宋体" w:hAnsi="宋体"/>
          <w:sz w:val="28"/>
          <w:szCs w:val="28"/>
        </w:rPr>
        <w:t xml:space="preserve"> 6.1.3 全年连续两次考核不合格或月度考核三次以上不合格的；</w:t>
      </w:r>
    </w:p>
    <w:p w14:paraId="3C1430C5">
      <w:pPr>
        <w:spacing w:line="480" w:lineRule="exact"/>
        <w:ind w:firstLine="422" w:firstLineChars="150"/>
        <w:rPr>
          <w:rFonts w:ascii="宋体" w:hAnsi="宋体"/>
          <w:b/>
          <w:bCs/>
          <w:sz w:val="28"/>
          <w:szCs w:val="28"/>
        </w:rPr>
      </w:pPr>
      <w:r>
        <w:rPr>
          <w:rFonts w:hint="eastAsia" w:ascii="宋体" w:hAnsi="宋体"/>
          <w:b/>
          <w:bCs/>
          <w:sz w:val="28"/>
          <w:szCs w:val="28"/>
        </w:rPr>
        <w:t xml:space="preserve"> 6.2 养护单位须认真保护所承担养护区域内的绿地及绿化材料。</w:t>
      </w:r>
    </w:p>
    <w:p w14:paraId="63EA4325">
      <w:pPr>
        <w:spacing w:line="480" w:lineRule="exact"/>
        <w:ind w:firstLine="420" w:firstLineChars="150"/>
        <w:rPr>
          <w:rFonts w:ascii="宋体" w:hAnsi="宋体"/>
          <w:sz w:val="28"/>
          <w:szCs w:val="28"/>
        </w:rPr>
      </w:pPr>
      <w:r>
        <w:rPr>
          <w:rFonts w:hint="eastAsia" w:ascii="宋体" w:hAnsi="宋体"/>
          <w:sz w:val="28"/>
          <w:szCs w:val="28"/>
        </w:rPr>
        <w:t xml:space="preserve"> 如遇第三方开挖，应主动检查其开挖证明，并跟踪其开挖活动，避免绿化材料缺损。如开挖方无法出具有效的开挖证明，养护单位应及时制止其开挖行为并通知考核组，否则因养护单位不作为而造成的苗木缺损、死亡等一切后果由养护单位承担，并视情况给予扣分。</w:t>
      </w:r>
    </w:p>
    <w:p w14:paraId="7E8BB85E">
      <w:pPr>
        <w:spacing w:line="480" w:lineRule="exact"/>
        <w:ind w:firstLine="200"/>
        <w:rPr>
          <w:rFonts w:ascii="宋体" w:hAnsi="宋体"/>
          <w:sz w:val="28"/>
          <w:szCs w:val="28"/>
        </w:rPr>
      </w:pPr>
      <w:r>
        <w:rPr>
          <w:rFonts w:hint="eastAsia" w:ascii="宋体" w:hAnsi="宋体"/>
          <w:b/>
          <w:sz w:val="28"/>
          <w:szCs w:val="28"/>
        </w:rPr>
        <w:t xml:space="preserve">   7、本考核办法作为《绿化养护承包合同书》附件，合同期内有效，本办法如与双方合同约定相冲突的，以合同约定为准。</w:t>
      </w:r>
    </w:p>
    <w:p w14:paraId="1E7C4B31">
      <w:pPr>
        <w:pStyle w:val="2"/>
        <w:jc w:val="center"/>
        <w:rPr>
          <w:sz w:val="28"/>
          <w:szCs w:val="28"/>
        </w:rPr>
        <w:sectPr>
          <w:pgSz w:w="11906" w:h="16838"/>
          <w:pgMar w:top="1440" w:right="1179" w:bottom="1440" w:left="1519" w:header="851" w:footer="992" w:gutter="0"/>
          <w:cols w:space="720" w:num="1"/>
          <w:docGrid w:type="lines" w:linePitch="312" w:charSpace="0"/>
        </w:sectPr>
      </w:pPr>
    </w:p>
    <w:tbl>
      <w:tblPr>
        <w:tblStyle w:val="6"/>
        <w:tblpPr w:leftFromText="180" w:rightFromText="180" w:vertAnchor="text" w:horzAnchor="margin" w:tblpXSpec="center" w:tblpY="-77"/>
        <w:tblOverlap w:val="never"/>
        <w:tblW w:w="10231" w:type="dxa"/>
        <w:tblInd w:w="0" w:type="dxa"/>
        <w:tblLayout w:type="fixed"/>
        <w:tblCellMar>
          <w:top w:w="0" w:type="dxa"/>
          <w:left w:w="108" w:type="dxa"/>
          <w:bottom w:w="0" w:type="dxa"/>
          <w:right w:w="108" w:type="dxa"/>
        </w:tblCellMar>
      </w:tblPr>
      <w:tblGrid>
        <w:gridCol w:w="428"/>
        <w:gridCol w:w="709"/>
        <w:gridCol w:w="575"/>
        <w:gridCol w:w="5333"/>
        <w:gridCol w:w="1459"/>
        <w:gridCol w:w="1727"/>
      </w:tblGrid>
      <w:tr w14:paraId="35487BAB">
        <w:tblPrEx>
          <w:tblCellMar>
            <w:top w:w="0" w:type="dxa"/>
            <w:left w:w="108" w:type="dxa"/>
            <w:bottom w:w="0" w:type="dxa"/>
            <w:right w:w="108" w:type="dxa"/>
          </w:tblCellMar>
        </w:tblPrEx>
        <w:trPr>
          <w:trHeight w:val="534" w:hRule="atLeast"/>
        </w:trPr>
        <w:tc>
          <w:tcPr>
            <w:tcW w:w="10231" w:type="dxa"/>
            <w:gridSpan w:val="6"/>
            <w:tcBorders>
              <w:top w:val="nil"/>
              <w:left w:val="nil"/>
              <w:bottom w:val="nil"/>
              <w:right w:val="nil"/>
            </w:tcBorders>
            <w:vAlign w:val="center"/>
          </w:tcPr>
          <w:p w14:paraId="2F726A4A">
            <w:pPr>
              <w:widowControl/>
              <w:jc w:val="center"/>
              <w:outlineLvl w:val="0"/>
              <w:rPr>
                <w:rFonts w:ascii="宋体" w:hAnsi="宋体" w:cs="宋体"/>
                <w:kern w:val="0"/>
                <w:sz w:val="24"/>
              </w:rPr>
            </w:pPr>
            <w:bookmarkStart w:id="0" w:name="_Toc5924"/>
            <w:bookmarkStart w:id="1" w:name="_Toc32217"/>
            <w:r>
              <w:rPr>
                <w:rFonts w:hint="eastAsia" w:ascii="宋体" w:hAnsi="宋体" w:cs="宋体"/>
                <w:b/>
                <w:bCs/>
                <w:kern w:val="0"/>
                <w:sz w:val="36"/>
                <w:szCs w:val="36"/>
              </w:rPr>
              <w:t>绿化养护考核评分表</w:t>
            </w:r>
            <w:bookmarkEnd w:id="0"/>
            <w:bookmarkEnd w:id="1"/>
          </w:p>
        </w:tc>
      </w:tr>
      <w:tr w14:paraId="4F21E8CE">
        <w:tblPrEx>
          <w:tblCellMar>
            <w:top w:w="0" w:type="dxa"/>
            <w:left w:w="108" w:type="dxa"/>
            <w:bottom w:w="0" w:type="dxa"/>
            <w:right w:w="108" w:type="dxa"/>
          </w:tblCellMar>
        </w:tblPrEx>
        <w:trPr>
          <w:trHeight w:val="285" w:hRule="atLeast"/>
        </w:trPr>
        <w:tc>
          <w:tcPr>
            <w:tcW w:w="10231" w:type="dxa"/>
            <w:gridSpan w:val="6"/>
            <w:tcBorders>
              <w:top w:val="nil"/>
              <w:left w:val="nil"/>
              <w:bottom w:val="nil"/>
              <w:right w:val="nil"/>
            </w:tcBorders>
            <w:vAlign w:val="center"/>
          </w:tcPr>
          <w:p w14:paraId="5687E3F9">
            <w:pPr>
              <w:widowControl/>
              <w:rPr>
                <w:rFonts w:ascii="宋体" w:hAnsi="宋体" w:cs="宋体"/>
                <w:kern w:val="0"/>
                <w:sz w:val="24"/>
              </w:rPr>
            </w:pPr>
          </w:p>
          <w:p w14:paraId="02D65EC6">
            <w:pPr>
              <w:widowControl/>
              <w:rPr>
                <w:rFonts w:ascii="宋体" w:hAnsi="宋体" w:cs="宋体"/>
                <w:kern w:val="0"/>
                <w:sz w:val="24"/>
              </w:rPr>
            </w:pPr>
            <w:r>
              <w:rPr>
                <w:rFonts w:hint="eastAsia" w:ascii="宋体" w:hAnsi="宋体" w:cs="宋体"/>
                <w:kern w:val="0"/>
                <w:sz w:val="24"/>
              </w:rPr>
              <w:t>考核区域：</w:t>
            </w:r>
          </w:p>
        </w:tc>
      </w:tr>
      <w:tr w14:paraId="2562C223">
        <w:tblPrEx>
          <w:tblCellMar>
            <w:top w:w="0" w:type="dxa"/>
            <w:left w:w="108" w:type="dxa"/>
            <w:bottom w:w="0" w:type="dxa"/>
            <w:right w:w="108" w:type="dxa"/>
          </w:tblCellMar>
        </w:tblPrEx>
        <w:trPr>
          <w:trHeight w:val="285" w:hRule="atLeast"/>
        </w:trPr>
        <w:tc>
          <w:tcPr>
            <w:tcW w:w="428" w:type="dxa"/>
            <w:tcBorders>
              <w:top w:val="single" w:color="auto" w:sz="4" w:space="0"/>
              <w:left w:val="single" w:color="auto" w:sz="4" w:space="0"/>
              <w:bottom w:val="single" w:color="auto" w:sz="4" w:space="0"/>
              <w:right w:val="single" w:color="auto" w:sz="4" w:space="0"/>
            </w:tcBorders>
            <w:vAlign w:val="center"/>
          </w:tcPr>
          <w:p w14:paraId="5A48363C">
            <w:pPr>
              <w:widowControl/>
              <w:jc w:val="center"/>
              <w:rPr>
                <w:rFonts w:ascii="宋体" w:hAnsi="宋体" w:cs="宋体"/>
                <w:kern w:val="0"/>
                <w:sz w:val="20"/>
                <w:szCs w:val="20"/>
              </w:rPr>
            </w:pPr>
            <w:r>
              <w:rPr>
                <w:rFonts w:hint="eastAsia" w:ascii="宋体" w:hAnsi="宋体" w:cs="宋体"/>
                <w:kern w:val="0"/>
                <w:sz w:val="20"/>
                <w:szCs w:val="20"/>
              </w:rPr>
              <w:t>序号</w:t>
            </w:r>
          </w:p>
        </w:tc>
        <w:tc>
          <w:tcPr>
            <w:tcW w:w="709" w:type="dxa"/>
            <w:tcBorders>
              <w:top w:val="single" w:color="auto" w:sz="4" w:space="0"/>
              <w:left w:val="nil"/>
              <w:bottom w:val="single" w:color="auto" w:sz="4" w:space="0"/>
              <w:right w:val="single" w:color="auto" w:sz="4" w:space="0"/>
            </w:tcBorders>
            <w:vAlign w:val="center"/>
          </w:tcPr>
          <w:p w14:paraId="7862EC16">
            <w:pPr>
              <w:widowControl/>
              <w:jc w:val="center"/>
              <w:rPr>
                <w:rFonts w:ascii="宋体" w:hAnsi="宋体" w:cs="宋体"/>
                <w:kern w:val="0"/>
                <w:sz w:val="20"/>
                <w:szCs w:val="20"/>
              </w:rPr>
            </w:pPr>
            <w:r>
              <w:rPr>
                <w:rFonts w:hint="eastAsia" w:ascii="宋体" w:hAnsi="宋体" w:cs="宋体"/>
                <w:kern w:val="0"/>
                <w:sz w:val="20"/>
                <w:szCs w:val="20"/>
              </w:rPr>
              <w:t>考核</w:t>
            </w:r>
          </w:p>
          <w:p w14:paraId="74433556">
            <w:pPr>
              <w:widowControl/>
              <w:jc w:val="center"/>
              <w:rPr>
                <w:rFonts w:ascii="宋体" w:hAnsi="宋体" w:cs="宋体"/>
                <w:kern w:val="0"/>
                <w:sz w:val="20"/>
                <w:szCs w:val="20"/>
              </w:rPr>
            </w:pPr>
            <w:r>
              <w:rPr>
                <w:rFonts w:hint="eastAsia" w:ascii="宋体" w:hAnsi="宋体" w:cs="宋体"/>
                <w:kern w:val="0"/>
                <w:sz w:val="20"/>
                <w:szCs w:val="20"/>
              </w:rPr>
              <w:t>项目</w:t>
            </w:r>
          </w:p>
        </w:tc>
        <w:tc>
          <w:tcPr>
            <w:tcW w:w="575" w:type="dxa"/>
            <w:tcBorders>
              <w:top w:val="single" w:color="auto" w:sz="4" w:space="0"/>
              <w:left w:val="nil"/>
              <w:bottom w:val="single" w:color="auto" w:sz="4" w:space="0"/>
              <w:right w:val="single" w:color="auto" w:sz="4" w:space="0"/>
            </w:tcBorders>
            <w:vAlign w:val="center"/>
          </w:tcPr>
          <w:p w14:paraId="1CE245C3">
            <w:pPr>
              <w:widowControl/>
              <w:jc w:val="center"/>
              <w:rPr>
                <w:rFonts w:ascii="宋体" w:hAnsi="宋体" w:cs="宋体"/>
                <w:kern w:val="0"/>
                <w:sz w:val="20"/>
                <w:szCs w:val="20"/>
              </w:rPr>
            </w:pPr>
            <w:r>
              <w:rPr>
                <w:rFonts w:hint="eastAsia" w:ascii="宋体" w:hAnsi="宋体" w:cs="宋体"/>
                <w:kern w:val="0"/>
                <w:sz w:val="20"/>
                <w:szCs w:val="20"/>
              </w:rPr>
              <w:t>标准分</w:t>
            </w:r>
          </w:p>
        </w:tc>
        <w:tc>
          <w:tcPr>
            <w:tcW w:w="5333" w:type="dxa"/>
            <w:tcBorders>
              <w:top w:val="single" w:color="auto" w:sz="4" w:space="0"/>
              <w:left w:val="nil"/>
              <w:bottom w:val="single" w:color="auto" w:sz="4" w:space="0"/>
              <w:right w:val="single" w:color="auto" w:sz="4" w:space="0"/>
            </w:tcBorders>
            <w:vAlign w:val="center"/>
          </w:tcPr>
          <w:p w14:paraId="5E7AE581">
            <w:pPr>
              <w:widowControl/>
              <w:jc w:val="center"/>
              <w:rPr>
                <w:rFonts w:ascii="宋体" w:hAnsi="宋体" w:cs="宋体"/>
                <w:kern w:val="0"/>
                <w:sz w:val="20"/>
                <w:szCs w:val="20"/>
              </w:rPr>
            </w:pPr>
            <w:r>
              <w:rPr>
                <w:rFonts w:hint="eastAsia" w:ascii="宋体" w:hAnsi="宋体" w:cs="宋体"/>
                <w:kern w:val="0"/>
                <w:sz w:val="20"/>
                <w:szCs w:val="20"/>
              </w:rPr>
              <w:t>考核标准</w:t>
            </w:r>
          </w:p>
        </w:tc>
        <w:tc>
          <w:tcPr>
            <w:tcW w:w="1459" w:type="dxa"/>
            <w:tcBorders>
              <w:top w:val="single" w:color="auto" w:sz="4" w:space="0"/>
              <w:left w:val="nil"/>
              <w:bottom w:val="single" w:color="auto" w:sz="4" w:space="0"/>
              <w:right w:val="single" w:color="auto" w:sz="4" w:space="0"/>
            </w:tcBorders>
            <w:vAlign w:val="center"/>
          </w:tcPr>
          <w:p w14:paraId="483EA567">
            <w:pPr>
              <w:widowControl/>
              <w:jc w:val="center"/>
              <w:rPr>
                <w:rFonts w:ascii="宋体" w:hAnsi="宋体" w:cs="宋体"/>
                <w:kern w:val="0"/>
                <w:sz w:val="20"/>
                <w:szCs w:val="20"/>
              </w:rPr>
            </w:pPr>
            <w:r>
              <w:rPr>
                <w:rFonts w:hint="eastAsia" w:ascii="宋体" w:hAnsi="宋体" w:cs="宋体"/>
                <w:kern w:val="0"/>
                <w:sz w:val="20"/>
                <w:szCs w:val="20"/>
              </w:rPr>
              <w:t>考核办法</w:t>
            </w:r>
          </w:p>
        </w:tc>
        <w:tc>
          <w:tcPr>
            <w:tcW w:w="1727" w:type="dxa"/>
            <w:tcBorders>
              <w:top w:val="single" w:color="auto" w:sz="4" w:space="0"/>
              <w:left w:val="nil"/>
              <w:bottom w:val="single" w:color="auto" w:sz="4" w:space="0"/>
              <w:right w:val="single" w:color="auto" w:sz="4" w:space="0"/>
            </w:tcBorders>
            <w:vAlign w:val="center"/>
          </w:tcPr>
          <w:p w14:paraId="79795FCA">
            <w:pPr>
              <w:widowControl/>
              <w:jc w:val="center"/>
              <w:rPr>
                <w:rFonts w:ascii="宋体" w:hAnsi="宋体" w:cs="宋体"/>
                <w:kern w:val="0"/>
                <w:sz w:val="20"/>
                <w:szCs w:val="20"/>
              </w:rPr>
            </w:pPr>
            <w:r>
              <w:rPr>
                <w:rFonts w:hint="eastAsia" w:ascii="宋体" w:hAnsi="宋体" w:cs="宋体"/>
                <w:kern w:val="0"/>
                <w:sz w:val="20"/>
                <w:szCs w:val="20"/>
              </w:rPr>
              <w:t>考核分</w:t>
            </w:r>
          </w:p>
        </w:tc>
      </w:tr>
      <w:tr w14:paraId="0F56E2D1">
        <w:tblPrEx>
          <w:tblCellMar>
            <w:top w:w="0" w:type="dxa"/>
            <w:left w:w="108" w:type="dxa"/>
            <w:bottom w:w="0" w:type="dxa"/>
            <w:right w:w="108" w:type="dxa"/>
          </w:tblCellMar>
        </w:tblPrEx>
        <w:trPr>
          <w:trHeight w:val="2623" w:hRule="atLeast"/>
        </w:trPr>
        <w:tc>
          <w:tcPr>
            <w:tcW w:w="428" w:type="dxa"/>
            <w:tcBorders>
              <w:top w:val="single" w:color="auto" w:sz="4" w:space="0"/>
              <w:left w:val="single" w:color="auto" w:sz="4" w:space="0"/>
              <w:bottom w:val="single" w:color="auto" w:sz="4" w:space="0"/>
              <w:right w:val="single" w:color="auto" w:sz="4" w:space="0"/>
            </w:tcBorders>
            <w:vAlign w:val="center"/>
          </w:tcPr>
          <w:p w14:paraId="09477977">
            <w:pPr>
              <w:widowControl/>
              <w:jc w:val="center"/>
              <w:rPr>
                <w:rFonts w:ascii="宋体" w:hAnsi="宋体" w:cs="宋体"/>
                <w:kern w:val="0"/>
                <w:sz w:val="20"/>
                <w:szCs w:val="20"/>
              </w:rPr>
            </w:pPr>
            <w:r>
              <w:rPr>
                <w:rFonts w:hint="eastAsia" w:ascii="宋体" w:hAnsi="宋体" w:cs="宋体"/>
                <w:kern w:val="0"/>
                <w:sz w:val="20"/>
                <w:szCs w:val="20"/>
              </w:rPr>
              <w:t>1</w:t>
            </w:r>
          </w:p>
        </w:tc>
        <w:tc>
          <w:tcPr>
            <w:tcW w:w="709" w:type="dxa"/>
            <w:tcBorders>
              <w:top w:val="single" w:color="auto" w:sz="4" w:space="0"/>
              <w:left w:val="single" w:color="auto" w:sz="4" w:space="0"/>
              <w:bottom w:val="single" w:color="auto" w:sz="4" w:space="0"/>
              <w:right w:val="single" w:color="auto" w:sz="4" w:space="0"/>
            </w:tcBorders>
            <w:vAlign w:val="center"/>
          </w:tcPr>
          <w:p w14:paraId="64A43431">
            <w:pPr>
              <w:widowControl/>
              <w:jc w:val="center"/>
              <w:rPr>
                <w:rFonts w:ascii="宋体" w:hAnsi="宋体" w:cs="宋体"/>
                <w:kern w:val="0"/>
                <w:sz w:val="20"/>
                <w:szCs w:val="20"/>
              </w:rPr>
            </w:pPr>
            <w:r>
              <w:rPr>
                <w:rFonts w:hint="eastAsia" w:ascii="宋体" w:hAnsi="宋体" w:cs="宋体"/>
                <w:kern w:val="0"/>
                <w:sz w:val="20"/>
                <w:szCs w:val="20"/>
              </w:rPr>
              <w:t>人员</w:t>
            </w:r>
          </w:p>
          <w:p w14:paraId="398B7AB2">
            <w:pPr>
              <w:widowControl/>
              <w:jc w:val="center"/>
              <w:rPr>
                <w:rFonts w:ascii="宋体" w:hAnsi="宋体" w:cs="宋体"/>
                <w:kern w:val="0"/>
                <w:sz w:val="20"/>
                <w:szCs w:val="20"/>
              </w:rPr>
            </w:pPr>
            <w:r>
              <w:rPr>
                <w:rFonts w:hint="eastAsia" w:ascii="宋体" w:hAnsi="宋体" w:cs="宋体"/>
                <w:kern w:val="0"/>
                <w:sz w:val="20"/>
                <w:szCs w:val="20"/>
              </w:rPr>
              <w:t>要求</w:t>
            </w:r>
          </w:p>
        </w:tc>
        <w:tc>
          <w:tcPr>
            <w:tcW w:w="575" w:type="dxa"/>
            <w:tcBorders>
              <w:top w:val="single" w:color="auto" w:sz="4" w:space="0"/>
              <w:left w:val="single" w:color="auto" w:sz="4" w:space="0"/>
              <w:bottom w:val="single" w:color="auto" w:sz="4" w:space="0"/>
              <w:right w:val="single" w:color="auto" w:sz="4" w:space="0"/>
            </w:tcBorders>
            <w:vAlign w:val="center"/>
          </w:tcPr>
          <w:p w14:paraId="6F92A067">
            <w:pPr>
              <w:widowControl/>
              <w:jc w:val="center"/>
              <w:rPr>
                <w:rFonts w:ascii="宋体" w:hAnsi="宋体" w:cs="宋体"/>
                <w:kern w:val="0"/>
                <w:sz w:val="20"/>
                <w:szCs w:val="20"/>
              </w:rPr>
            </w:pPr>
            <w:r>
              <w:rPr>
                <w:rFonts w:hint="eastAsia" w:ascii="宋体" w:hAnsi="宋体" w:cs="宋体"/>
                <w:kern w:val="0"/>
                <w:sz w:val="20"/>
                <w:szCs w:val="20"/>
              </w:rPr>
              <w:t>　</w:t>
            </w:r>
          </w:p>
        </w:tc>
        <w:tc>
          <w:tcPr>
            <w:tcW w:w="5333" w:type="dxa"/>
            <w:tcBorders>
              <w:top w:val="single" w:color="auto" w:sz="4" w:space="0"/>
              <w:left w:val="single" w:color="auto" w:sz="4" w:space="0"/>
              <w:bottom w:val="single" w:color="auto" w:sz="4" w:space="0"/>
              <w:right w:val="single" w:color="auto" w:sz="4" w:space="0"/>
            </w:tcBorders>
          </w:tcPr>
          <w:p w14:paraId="7EA8C47C">
            <w:pPr>
              <w:widowControl/>
              <w:jc w:val="left"/>
              <w:rPr>
                <w:rFonts w:ascii="宋体" w:hAnsi="宋体" w:cs="宋体"/>
                <w:kern w:val="0"/>
                <w:sz w:val="20"/>
                <w:szCs w:val="20"/>
              </w:rPr>
            </w:pPr>
            <w:r>
              <w:rPr>
                <w:rFonts w:hint="eastAsia" w:ascii="宋体" w:hAnsi="宋体" w:cs="宋体"/>
                <w:kern w:val="0"/>
                <w:sz w:val="20"/>
                <w:szCs w:val="20"/>
              </w:rPr>
              <w:t>1、人员组成（其中技术工不得少于总人数的30%）：养护每1.5万平方米不得少于1名固定养护工，其它工人视养护要求酌情增加；</w:t>
            </w:r>
            <w:r>
              <w:rPr>
                <w:rFonts w:hint="eastAsia" w:ascii="宋体" w:hAnsi="宋体" w:cs="宋体"/>
                <w:kern w:val="0"/>
                <w:sz w:val="20"/>
                <w:szCs w:val="20"/>
              </w:rPr>
              <w:br w:type="textWrapping"/>
            </w:r>
            <w:r>
              <w:rPr>
                <w:rFonts w:hint="eastAsia" w:ascii="宋体" w:hAnsi="宋体" w:cs="宋体"/>
                <w:kern w:val="0"/>
                <w:sz w:val="20"/>
                <w:szCs w:val="20"/>
              </w:rPr>
              <w:t>2、项目经理每月驻工地现场不得少于22天，进行统筹管理、技术指导、安全作业管理、发现绿地遭养护操作外原因被破坏的，及时以书面形式向相关管理部门报告等；</w:t>
            </w:r>
            <w:r>
              <w:rPr>
                <w:rFonts w:hint="eastAsia" w:ascii="宋体" w:hAnsi="宋体" w:cs="宋体"/>
                <w:kern w:val="0"/>
                <w:sz w:val="20"/>
                <w:szCs w:val="20"/>
              </w:rPr>
              <w:br w:type="textWrapping"/>
            </w:r>
            <w:r>
              <w:rPr>
                <w:rFonts w:hint="eastAsia" w:ascii="宋体" w:hAnsi="宋体" w:cs="宋体"/>
                <w:kern w:val="0"/>
                <w:sz w:val="20"/>
                <w:szCs w:val="20"/>
              </w:rPr>
              <w:t>3、工作时间内（当日7:00--18:00），存在不在岗现象（雨天除外），按50元/人·天扣罚。</w:t>
            </w:r>
          </w:p>
        </w:tc>
        <w:tc>
          <w:tcPr>
            <w:tcW w:w="1459" w:type="dxa"/>
            <w:tcBorders>
              <w:top w:val="single" w:color="auto" w:sz="4" w:space="0"/>
              <w:left w:val="single" w:color="auto" w:sz="4" w:space="0"/>
              <w:bottom w:val="single" w:color="auto" w:sz="4" w:space="0"/>
              <w:right w:val="single" w:color="auto" w:sz="4" w:space="0"/>
            </w:tcBorders>
            <w:vAlign w:val="center"/>
          </w:tcPr>
          <w:p w14:paraId="217F41ED">
            <w:pPr>
              <w:widowControl/>
              <w:jc w:val="center"/>
              <w:rPr>
                <w:rFonts w:ascii="宋体" w:hAnsi="宋体" w:cs="宋体"/>
                <w:kern w:val="0"/>
                <w:sz w:val="20"/>
                <w:szCs w:val="20"/>
              </w:rPr>
            </w:pPr>
            <w:r>
              <w:rPr>
                <w:rFonts w:hint="eastAsia" w:ascii="宋体" w:hAnsi="宋体" w:cs="宋体"/>
                <w:kern w:val="0"/>
                <w:sz w:val="20"/>
                <w:szCs w:val="20"/>
              </w:rPr>
              <w:t>　</w:t>
            </w:r>
          </w:p>
        </w:tc>
        <w:tc>
          <w:tcPr>
            <w:tcW w:w="1727" w:type="dxa"/>
            <w:tcBorders>
              <w:top w:val="single" w:color="auto" w:sz="4" w:space="0"/>
              <w:left w:val="single" w:color="auto" w:sz="4" w:space="0"/>
              <w:bottom w:val="single" w:color="auto" w:sz="4" w:space="0"/>
              <w:right w:val="single" w:color="auto" w:sz="4" w:space="0"/>
            </w:tcBorders>
            <w:vAlign w:val="center"/>
          </w:tcPr>
          <w:p w14:paraId="678C314C">
            <w:pPr>
              <w:widowControl/>
              <w:jc w:val="center"/>
              <w:rPr>
                <w:rFonts w:ascii="宋体" w:hAnsi="宋体" w:cs="宋体"/>
                <w:kern w:val="0"/>
                <w:sz w:val="20"/>
                <w:szCs w:val="20"/>
              </w:rPr>
            </w:pPr>
            <w:r>
              <w:rPr>
                <w:rFonts w:hint="eastAsia" w:ascii="宋体" w:hAnsi="宋体" w:cs="宋体"/>
                <w:kern w:val="0"/>
                <w:sz w:val="20"/>
                <w:szCs w:val="20"/>
              </w:rPr>
              <w:t>人员性别、年龄应由绿化养护管理承包方报甲方审核后上岗，并接受甲方考勤。达不到前述要求，取消承包方的养护管理资格，没收保证金</w:t>
            </w:r>
          </w:p>
        </w:tc>
      </w:tr>
      <w:tr w14:paraId="3B60E6F6">
        <w:tblPrEx>
          <w:tblCellMar>
            <w:top w:w="0" w:type="dxa"/>
            <w:left w:w="108" w:type="dxa"/>
            <w:bottom w:w="0" w:type="dxa"/>
            <w:right w:w="108" w:type="dxa"/>
          </w:tblCellMar>
        </w:tblPrEx>
        <w:trPr>
          <w:trHeight w:val="2461" w:hRule="atLeast"/>
        </w:trPr>
        <w:tc>
          <w:tcPr>
            <w:tcW w:w="428" w:type="dxa"/>
            <w:tcBorders>
              <w:top w:val="single" w:color="auto" w:sz="4" w:space="0"/>
              <w:left w:val="single" w:color="auto" w:sz="4" w:space="0"/>
              <w:bottom w:val="single" w:color="auto" w:sz="4" w:space="0"/>
              <w:right w:val="single" w:color="auto" w:sz="4" w:space="0"/>
            </w:tcBorders>
            <w:vAlign w:val="center"/>
          </w:tcPr>
          <w:p w14:paraId="654F2428">
            <w:pPr>
              <w:widowControl/>
              <w:jc w:val="center"/>
              <w:rPr>
                <w:rFonts w:ascii="宋体" w:hAnsi="宋体" w:cs="宋体"/>
                <w:kern w:val="0"/>
                <w:sz w:val="20"/>
                <w:szCs w:val="20"/>
              </w:rPr>
            </w:pPr>
            <w:r>
              <w:rPr>
                <w:rFonts w:hint="eastAsia" w:ascii="宋体" w:hAnsi="宋体" w:cs="宋体"/>
                <w:kern w:val="0"/>
                <w:sz w:val="20"/>
                <w:szCs w:val="20"/>
              </w:rPr>
              <w:t>2</w:t>
            </w:r>
          </w:p>
        </w:tc>
        <w:tc>
          <w:tcPr>
            <w:tcW w:w="709" w:type="dxa"/>
            <w:tcBorders>
              <w:top w:val="single" w:color="auto" w:sz="4" w:space="0"/>
              <w:left w:val="single" w:color="auto" w:sz="4" w:space="0"/>
              <w:bottom w:val="single" w:color="auto" w:sz="4" w:space="0"/>
              <w:right w:val="single" w:color="auto" w:sz="4" w:space="0"/>
            </w:tcBorders>
            <w:vAlign w:val="center"/>
          </w:tcPr>
          <w:p w14:paraId="12EA8118">
            <w:pPr>
              <w:widowControl/>
              <w:jc w:val="center"/>
              <w:rPr>
                <w:rFonts w:ascii="宋体" w:hAnsi="宋体" w:cs="宋体"/>
                <w:kern w:val="0"/>
                <w:sz w:val="20"/>
                <w:szCs w:val="20"/>
              </w:rPr>
            </w:pPr>
            <w:r>
              <w:rPr>
                <w:rFonts w:hint="eastAsia" w:ascii="宋体" w:hAnsi="宋体" w:cs="宋体"/>
                <w:kern w:val="0"/>
                <w:sz w:val="20"/>
                <w:szCs w:val="20"/>
              </w:rPr>
              <w:t>重视</w:t>
            </w:r>
          </w:p>
          <w:p w14:paraId="69A580F6">
            <w:pPr>
              <w:widowControl/>
              <w:jc w:val="center"/>
              <w:rPr>
                <w:rFonts w:ascii="宋体" w:hAnsi="宋体" w:cs="宋体"/>
                <w:kern w:val="0"/>
                <w:sz w:val="20"/>
                <w:szCs w:val="20"/>
              </w:rPr>
            </w:pPr>
            <w:r>
              <w:rPr>
                <w:rFonts w:hint="eastAsia" w:ascii="宋体" w:hAnsi="宋体" w:cs="宋体"/>
                <w:kern w:val="0"/>
                <w:sz w:val="20"/>
                <w:szCs w:val="20"/>
              </w:rPr>
              <w:t>程度</w:t>
            </w:r>
          </w:p>
        </w:tc>
        <w:tc>
          <w:tcPr>
            <w:tcW w:w="575" w:type="dxa"/>
            <w:tcBorders>
              <w:top w:val="single" w:color="auto" w:sz="4" w:space="0"/>
              <w:left w:val="single" w:color="auto" w:sz="4" w:space="0"/>
              <w:bottom w:val="single" w:color="auto" w:sz="4" w:space="0"/>
              <w:right w:val="single" w:color="auto" w:sz="4" w:space="0"/>
            </w:tcBorders>
            <w:vAlign w:val="center"/>
          </w:tcPr>
          <w:p w14:paraId="17743A30">
            <w:pPr>
              <w:widowControl/>
              <w:jc w:val="center"/>
              <w:rPr>
                <w:rFonts w:ascii="宋体" w:hAnsi="宋体" w:cs="宋体"/>
                <w:kern w:val="0"/>
                <w:sz w:val="20"/>
                <w:szCs w:val="20"/>
              </w:rPr>
            </w:pPr>
            <w:r>
              <w:rPr>
                <w:rFonts w:hint="eastAsia" w:ascii="宋体" w:hAnsi="宋体" w:cs="宋体"/>
                <w:kern w:val="0"/>
                <w:sz w:val="20"/>
                <w:szCs w:val="20"/>
              </w:rPr>
              <w:t>10</w:t>
            </w:r>
          </w:p>
        </w:tc>
        <w:tc>
          <w:tcPr>
            <w:tcW w:w="5333" w:type="dxa"/>
            <w:tcBorders>
              <w:top w:val="single" w:color="auto" w:sz="4" w:space="0"/>
              <w:left w:val="single" w:color="auto" w:sz="4" w:space="0"/>
              <w:bottom w:val="single" w:color="auto" w:sz="4" w:space="0"/>
              <w:right w:val="single" w:color="auto" w:sz="4" w:space="0"/>
            </w:tcBorders>
          </w:tcPr>
          <w:p w14:paraId="6A82B4F5">
            <w:pPr>
              <w:widowControl/>
              <w:jc w:val="left"/>
              <w:rPr>
                <w:rFonts w:ascii="宋体" w:hAnsi="宋体" w:cs="宋体"/>
                <w:kern w:val="0"/>
                <w:sz w:val="20"/>
                <w:szCs w:val="20"/>
              </w:rPr>
            </w:pPr>
            <w:r>
              <w:rPr>
                <w:rFonts w:hint="eastAsia" w:ascii="宋体" w:hAnsi="宋体" w:cs="宋体"/>
                <w:kern w:val="0"/>
                <w:sz w:val="20"/>
                <w:szCs w:val="20"/>
              </w:rPr>
              <w:t>未在规定时限内落实整改巡查人员发现问题，每次扣0.5分；</w:t>
            </w:r>
          </w:p>
          <w:p w14:paraId="2AF21754">
            <w:pPr>
              <w:widowControl/>
              <w:jc w:val="left"/>
              <w:rPr>
                <w:rFonts w:ascii="宋体" w:hAnsi="宋体" w:cs="宋体"/>
                <w:kern w:val="0"/>
                <w:sz w:val="20"/>
                <w:szCs w:val="20"/>
              </w:rPr>
            </w:pPr>
            <w:r>
              <w:rPr>
                <w:rFonts w:hint="eastAsia" w:ascii="宋体" w:hAnsi="宋体" w:cs="宋体"/>
                <w:kern w:val="0"/>
                <w:sz w:val="20"/>
                <w:szCs w:val="20"/>
              </w:rPr>
              <w:t>公司内部管理制度不健全，扣1分；</w:t>
            </w:r>
          </w:p>
          <w:p w14:paraId="6042A96B">
            <w:pPr>
              <w:widowControl/>
              <w:jc w:val="left"/>
              <w:rPr>
                <w:rFonts w:ascii="宋体" w:hAnsi="宋体" w:cs="宋体"/>
                <w:kern w:val="0"/>
                <w:sz w:val="20"/>
                <w:szCs w:val="20"/>
              </w:rPr>
            </w:pPr>
            <w:r>
              <w:rPr>
                <w:rFonts w:hint="eastAsia" w:ascii="宋体" w:hAnsi="宋体" w:cs="宋体"/>
                <w:kern w:val="0"/>
                <w:sz w:val="20"/>
                <w:szCs w:val="20"/>
              </w:rPr>
              <w:t>各类原始台账、巡视记录、报表流于形式，扣1分；</w:t>
            </w:r>
          </w:p>
          <w:p w14:paraId="7B9A5BB7">
            <w:pPr>
              <w:widowControl/>
              <w:jc w:val="left"/>
              <w:rPr>
                <w:rFonts w:ascii="宋体" w:hAnsi="宋体" w:cs="宋体"/>
                <w:kern w:val="0"/>
                <w:sz w:val="20"/>
                <w:szCs w:val="20"/>
              </w:rPr>
            </w:pPr>
            <w:r>
              <w:rPr>
                <w:rFonts w:hint="eastAsia" w:ascii="宋体" w:hAnsi="宋体" w:cs="宋体"/>
                <w:kern w:val="0"/>
                <w:sz w:val="20"/>
                <w:szCs w:val="20"/>
              </w:rPr>
              <w:t>节假日及创建等全市重大活动期间，积极做好各项工作，完成园林局各项交办任务。未按规定完成，每次扣1分；造成不良影响的，本项目得分直接按0分计算</w:t>
            </w:r>
          </w:p>
        </w:tc>
        <w:tc>
          <w:tcPr>
            <w:tcW w:w="1459" w:type="dxa"/>
            <w:tcBorders>
              <w:top w:val="single" w:color="auto" w:sz="4" w:space="0"/>
              <w:left w:val="single" w:color="auto" w:sz="4" w:space="0"/>
              <w:bottom w:val="single" w:color="auto" w:sz="4" w:space="0"/>
              <w:right w:val="single" w:color="auto" w:sz="4" w:space="0"/>
            </w:tcBorders>
            <w:vAlign w:val="center"/>
          </w:tcPr>
          <w:p w14:paraId="10071AA2">
            <w:pPr>
              <w:widowControl/>
              <w:jc w:val="center"/>
              <w:rPr>
                <w:rFonts w:ascii="宋体" w:hAnsi="宋体" w:cs="宋体"/>
                <w:kern w:val="0"/>
                <w:sz w:val="20"/>
                <w:szCs w:val="20"/>
              </w:rPr>
            </w:pPr>
            <w:r>
              <w:rPr>
                <w:rFonts w:hint="eastAsia" w:ascii="宋体" w:hAnsi="宋体" w:cs="宋体"/>
                <w:kern w:val="0"/>
                <w:sz w:val="20"/>
                <w:szCs w:val="20"/>
              </w:rPr>
              <w:t>巡查日志及</w:t>
            </w:r>
          </w:p>
          <w:p w14:paraId="22051745">
            <w:pPr>
              <w:widowControl/>
              <w:jc w:val="center"/>
              <w:rPr>
                <w:rFonts w:ascii="宋体" w:hAnsi="宋体" w:cs="宋体"/>
                <w:kern w:val="0"/>
                <w:sz w:val="20"/>
                <w:szCs w:val="20"/>
              </w:rPr>
            </w:pPr>
            <w:r>
              <w:rPr>
                <w:rFonts w:hint="eastAsia" w:ascii="宋体" w:hAnsi="宋体" w:cs="宋体"/>
                <w:kern w:val="0"/>
                <w:sz w:val="20"/>
                <w:szCs w:val="20"/>
              </w:rPr>
              <w:t>日常表现</w:t>
            </w:r>
          </w:p>
        </w:tc>
        <w:tc>
          <w:tcPr>
            <w:tcW w:w="1727" w:type="dxa"/>
            <w:tcBorders>
              <w:top w:val="single" w:color="auto" w:sz="4" w:space="0"/>
              <w:left w:val="single" w:color="auto" w:sz="4" w:space="0"/>
              <w:bottom w:val="single" w:color="auto" w:sz="4" w:space="0"/>
              <w:right w:val="single" w:color="auto" w:sz="4" w:space="0"/>
            </w:tcBorders>
            <w:vAlign w:val="center"/>
          </w:tcPr>
          <w:p w14:paraId="1030BD28">
            <w:pPr>
              <w:widowControl/>
              <w:jc w:val="center"/>
              <w:rPr>
                <w:rFonts w:ascii="宋体" w:hAnsi="宋体" w:cs="宋体"/>
                <w:kern w:val="0"/>
                <w:sz w:val="20"/>
                <w:szCs w:val="20"/>
              </w:rPr>
            </w:pPr>
          </w:p>
        </w:tc>
      </w:tr>
      <w:tr w14:paraId="09A3A68A">
        <w:tblPrEx>
          <w:tblCellMar>
            <w:top w:w="0" w:type="dxa"/>
            <w:left w:w="108" w:type="dxa"/>
            <w:bottom w:w="0" w:type="dxa"/>
            <w:right w:w="108" w:type="dxa"/>
          </w:tblCellMar>
        </w:tblPrEx>
        <w:trPr>
          <w:trHeight w:val="312" w:hRule="atLeast"/>
        </w:trPr>
        <w:tc>
          <w:tcPr>
            <w:tcW w:w="428" w:type="dxa"/>
            <w:vMerge w:val="restart"/>
            <w:tcBorders>
              <w:top w:val="single" w:color="auto" w:sz="4" w:space="0"/>
              <w:left w:val="single" w:color="auto" w:sz="4" w:space="0"/>
              <w:bottom w:val="single" w:color="auto" w:sz="4" w:space="0"/>
              <w:right w:val="single" w:color="auto" w:sz="4" w:space="0"/>
            </w:tcBorders>
            <w:vAlign w:val="center"/>
          </w:tcPr>
          <w:p w14:paraId="129B3AF5">
            <w:pPr>
              <w:widowControl/>
              <w:jc w:val="center"/>
              <w:rPr>
                <w:rFonts w:ascii="宋体" w:hAnsi="宋体" w:cs="宋体"/>
                <w:kern w:val="0"/>
                <w:sz w:val="20"/>
                <w:szCs w:val="20"/>
              </w:rPr>
            </w:pPr>
            <w:r>
              <w:rPr>
                <w:rFonts w:hint="eastAsia" w:ascii="宋体" w:hAnsi="宋体" w:cs="宋体"/>
                <w:kern w:val="0"/>
                <w:sz w:val="20"/>
                <w:szCs w:val="20"/>
              </w:rPr>
              <w:t>3</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4CC75036">
            <w:pPr>
              <w:widowControl/>
              <w:jc w:val="center"/>
              <w:rPr>
                <w:rFonts w:ascii="宋体" w:hAnsi="宋体" w:cs="宋体"/>
                <w:kern w:val="0"/>
                <w:sz w:val="20"/>
                <w:szCs w:val="20"/>
              </w:rPr>
            </w:pPr>
            <w:r>
              <w:rPr>
                <w:rFonts w:hint="eastAsia" w:ascii="宋体" w:hAnsi="宋体" w:cs="宋体"/>
                <w:kern w:val="0"/>
                <w:sz w:val="20"/>
                <w:szCs w:val="20"/>
              </w:rPr>
              <w:t>修剪</w:t>
            </w:r>
          </w:p>
          <w:p w14:paraId="6D779506">
            <w:pPr>
              <w:widowControl/>
              <w:jc w:val="center"/>
              <w:rPr>
                <w:rFonts w:ascii="宋体" w:hAnsi="宋体" w:cs="宋体"/>
                <w:kern w:val="0"/>
                <w:sz w:val="20"/>
                <w:szCs w:val="20"/>
              </w:rPr>
            </w:pPr>
            <w:r>
              <w:rPr>
                <w:rFonts w:hint="eastAsia" w:ascii="宋体" w:hAnsi="宋体" w:cs="宋体"/>
                <w:kern w:val="0"/>
                <w:sz w:val="20"/>
                <w:szCs w:val="20"/>
              </w:rPr>
              <w:t>、</w:t>
            </w:r>
          </w:p>
          <w:p w14:paraId="066BBB46">
            <w:pPr>
              <w:widowControl/>
              <w:jc w:val="center"/>
              <w:rPr>
                <w:rFonts w:ascii="宋体" w:hAnsi="宋体" w:cs="宋体"/>
                <w:kern w:val="0"/>
                <w:sz w:val="20"/>
                <w:szCs w:val="20"/>
              </w:rPr>
            </w:pPr>
            <w:r>
              <w:rPr>
                <w:rFonts w:hint="eastAsia" w:ascii="宋体" w:hAnsi="宋体" w:cs="宋体"/>
                <w:kern w:val="0"/>
                <w:sz w:val="20"/>
                <w:szCs w:val="20"/>
              </w:rPr>
              <w:t>造型</w:t>
            </w:r>
          </w:p>
        </w:tc>
        <w:tc>
          <w:tcPr>
            <w:tcW w:w="575" w:type="dxa"/>
            <w:vMerge w:val="restart"/>
            <w:tcBorders>
              <w:top w:val="single" w:color="auto" w:sz="4" w:space="0"/>
              <w:left w:val="single" w:color="auto" w:sz="4" w:space="0"/>
              <w:bottom w:val="single" w:color="auto" w:sz="4" w:space="0"/>
              <w:right w:val="single" w:color="auto" w:sz="4" w:space="0"/>
            </w:tcBorders>
            <w:vAlign w:val="center"/>
          </w:tcPr>
          <w:p w14:paraId="3679F362">
            <w:pPr>
              <w:widowControl/>
              <w:jc w:val="center"/>
              <w:rPr>
                <w:rFonts w:ascii="宋体" w:hAnsi="宋体" w:cs="宋体"/>
                <w:kern w:val="0"/>
                <w:sz w:val="20"/>
                <w:szCs w:val="20"/>
              </w:rPr>
            </w:pPr>
            <w:r>
              <w:rPr>
                <w:rFonts w:hint="eastAsia" w:ascii="宋体" w:hAnsi="宋体" w:cs="宋体"/>
                <w:kern w:val="0"/>
                <w:sz w:val="20"/>
                <w:szCs w:val="20"/>
              </w:rPr>
              <w:t>15</w:t>
            </w:r>
          </w:p>
        </w:tc>
        <w:tc>
          <w:tcPr>
            <w:tcW w:w="5333" w:type="dxa"/>
            <w:vMerge w:val="restart"/>
            <w:tcBorders>
              <w:top w:val="single" w:color="auto" w:sz="4" w:space="0"/>
              <w:left w:val="single" w:color="auto" w:sz="4" w:space="0"/>
              <w:bottom w:val="single" w:color="auto" w:sz="4" w:space="0"/>
              <w:right w:val="single" w:color="auto" w:sz="4" w:space="0"/>
            </w:tcBorders>
          </w:tcPr>
          <w:p w14:paraId="5D82180C">
            <w:pPr>
              <w:widowControl/>
              <w:jc w:val="left"/>
              <w:rPr>
                <w:rFonts w:ascii="宋体" w:hAnsi="宋体" w:cs="宋体"/>
                <w:kern w:val="0"/>
                <w:sz w:val="20"/>
                <w:szCs w:val="20"/>
              </w:rPr>
            </w:pPr>
            <w:r>
              <w:rPr>
                <w:rFonts w:hint="eastAsia" w:ascii="宋体" w:hAnsi="宋体" w:cs="宋体"/>
                <w:kern w:val="0"/>
                <w:sz w:val="20"/>
                <w:szCs w:val="20"/>
              </w:rPr>
              <w:t>1、发现乔木残缺、树冠不完整、明显枯枝、病虫害枝、徒长枝、倒垂枝；</w:t>
            </w:r>
            <w:r>
              <w:rPr>
                <w:rFonts w:hint="eastAsia" w:ascii="宋体" w:hAnsi="宋体" w:cs="宋体"/>
                <w:kern w:val="0"/>
                <w:sz w:val="20"/>
                <w:szCs w:val="20"/>
              </w:rPr>
              <w:br w:type="textWrapping"/>
            </w:r>
            <w:r>
              <w:rPr>
                <w:rFonts w:hint="eastAsia" w:ascii="宋体" w:hAnsi="宋体" w:cs="宋体"/>
                <w:kern w:val="0"/>
                <w:sz w:val="20"/>
                <w:szCs w:val="20"/>
              </w:rPr>
              <w:t>2、发现乔木影响高压线、路灯和交通设施；</w:t>
            </w:r>
            <w:r>
              <w:rPr>
                <w:rFonts w:hint="eastAsia" w:ascii="宋体" w:hAnsi="宋体" w:cs="宋体"/>
                <w:kern w:val="0"/>
                <w:sz w:val="20"/>
                <w:szCs w:val="20"/>
              </w:rPr>
              <w:br w:type="textWrapping"/>
            </w:r>
            <w:r>
              <w:rPr>
                <w:rFonts w:hint="eastAsia" w:ascii="宋体" w:hAnsi="宋体" w:cs="宋体"/>
                <w:kern w:val="0"/>
                <w:sz w:val="20"/>
                <w:szCs w:val="20"/>
              </w:rPr>
              <w:t>3、发现灌木冠型不完整、有残缺；</w:t>
            </w:r>
            <w:r>
              <w:rPr>
                <w:rFonts w:hint="eastAsia" w:ascii="宋体" w:hAnsi="宋体" w:cs="宋体"/>
                <w:kern w:val="0"/>
                <w:sz w:val="20"/>
                <w:szCs w:val="20"/>
              </w:rPr>
              <w:br w:type="textWrapping"/>
            </w:r>
            <w:r>
              <w:rPr>
                <w:rFonts w:hint="eastAsia" w:ascii="宋体" w:hAnsi="宋体" w:cs="宋体"/>
                <w:kern w:val="0"/>
                <w:sz w:val="20"/>
                <w:szCs w:val="20"/>
              </w:rPr>
              <w:t>4、发现色块、绿篱修剪不整齐、有残缺；</w:t>
            </w:r>
            <w:r>
              <w:rPr>
                <w:rFonts w:hint="eastAsia" w:ascii="宋体" w:hAnsi="宋体" w:cs="宋体"/>
                <w:kern w:val="0"/>
                <w:sz w:val="20"/>
                <w:szCs w:val="20"/>
              </w:rPr>
              <w:br w:type="textWrapping"/>
            </w:r>
            <w:r>
              <w:rPr>
                <w:rFonts w:hint="eastAsia" w:ascii="宋体" w:hAnsi="宋体" w:cs="宋体"/>
                <w:kern w:val="0"/>
                <w:sz w:val="20"/>
                <w:szCs w:val="20"/>
              </w:rPr>
              <w:t>5、发现草坪修剪不整齐、有残缺；</w:t>
            </w:r>
            <w:r>
              <w:rPr>
                <w:rFonts w:hint="eastAsia" w:ascii="宋体" w:hAnsi="宋体" w:cs="宋体"/>
                <w:kern w:val="0"/>
                <w:sz w:val="20"/>
                <w:szCs w:val="20"/>
              </w:rPr>
              <w:br w:type="textWrapping"/>
            </w:r>
            <w:r>
              <w:rPr>
                <w:rFonts w:hint="eastAsia" w:ascii="宋体" w:hAnsi="宋体" w:cs="宋体"/>
                <w:kern w:val="0"/>
                <w:sz w:val="20"/>
                <w:szCs w:val="20"/>
              </w:rPr>
              <w:t>6、花坛、花带轮廓不清晰，不整齐美观，有残缺或残花败叶；</w:t>
            </w:r>
            <w:r>
              <w:rPr>
                <w:rFonts w:hint="eastAsia" w:ascii="宋体" w:hAnsi="宋体" w:cs="宋体"/>
                <w:kern w:val="0"/>
                <w:sz w:val="20"/>
                <w:szCs w:val="20"/>
              </w:rPr>
              <w:br w:type="textWrapping"/>
            </w:r>
            <w:r>
              <w:rPr>
                <w:rFonts w:hint="eastAsia" w:ascii="宋体" w:hAnsi="宋体" w:cs="宋体"/>
                <w:kern w:val="0"/>
                <w:sz w:val="20"/>
                <w:szCs w:val="20"/>
              </w:rPr>
              <w:t>7、发现苗木歪斜倾倒。</w:t>
            </w:r>
            <w:r>
              <w:rPr>
                <w:rFonts w:hint="eastAsia" w:ascii="宋体" w:hAnsi="宋体" w:cs="宋体"/>
                <w:kern w:val="0"/>
                <w:sz w:val="20"/>
                <w:szCs w:val="20"/>
              </w:rPr>
              <w:br w:type="textWrapping"/>
            </w:r>
            <w:r>
              <w:rPr>
                <w:rFonts w:hint="eastAsia" w:ascii="宋体" w:hAnsi="宋体" w:cs="宋体"/>
                <w:kern w:val="0"/>
                <w:sz w:val="20"/>
                <w:szCs w:val="20"/>
              </w:rPr>
              <w:t>每发现一处扣0.5分（抽样100m2/处），扣完为止。</w:t>
            </w:r>
          </w:p>
        </w:tc>
        <w:tc>
          <w:tcPr>
            <w:tcW w:w="1459" w:type="dxa"/>
            <w:vMerge w:val="restart"/>
            <w:tcBorders>
              <w:top w:val="single" w:color="auto" w:sz="4" w:space="0"/>
              <w:left w:val="single" w:color="auto" w:sz="4" w:space="0"/>
              <w:bottom w:val="single" w:color="auto" w:sz="4" w:space="0"/>
              <w:right w:val="single" w:color="auto" w:sz="4" w:space="0"/>
            </w:tcBorders>
            <w:vAlign w:val="center"/>
          </w:tcPr>
          <w:p w14:paraId="762A5199">
            <w:pPr>
              <w:widowControl/>
              <w:jc w:val="center"/>
              <w:rPr>
                <w:rFonts w:ascii="宋体" w:hAnsi="宋体" w:cs="宋体"/>
                <w:kern w:val="0"/>
                <w:sz w:val="20"/>
                <w:szCs w:val="20"/>
              </w:rPr>
            </w:pPr>
            <w:r>
              <w:rPr>
                <w:rFonts w:hint="eastAsia" w:ascii="宋体" w:hAnsi="宋体" w:cs="宋体"/>
                <w:kern w:val="0"/>
                <w:sz w:val="20"/>
                <w:szCs w:val="20"/>
              </w:rPr>
              <w:t>每季抽样</w:t>
            </w:r>
          </w:p>
          <w:p w14:paraId="7ABB0C48">
            <w:pPr>
              <w:widowControl/>
              <w:jc w:val="center"/>
              <w:rPr>
                <w:rFonts w:ascii="宋体" w:hAnsi="宋体" w:cs="宋体"/>
                <w:kern w:val="0"/>
                <w:sz w:val="20"/>
                <w:szCs w:val="20"/>
              </w:rPr>
            </w:pPr>
            <w:r>
              <w:rPr>
                <w:rFonts w:hint="eastAsia" w:ascii="宋体" w:hAnsi="宋体" w:cs="宋体"/>
                <w:kern w:val="0"/>
                <w:sz w:val="20"/>
                <w:szCs w:val="20"/>
              </w:rPr>
              <w:t>目测检查</w:t>
            </w:r>
          </w:p>
        </w:tc>
        <w:tc>
          <w:tcPr>
            <w:tcW w:w="1727" w:type="dxa"/>
            <w:vMerge w:val="restart"/>
            <w:tcBorders>
              <w:top w:val="single" w:color="auto" w:sz="4" w:space="0"/>
              <w:left w:val="single" w:color="auto" w:sz="4" w:space="0"/>
              <w:bottom w:val="single" w:color="auto" w:sz="4" w:space="0"/>
              <w:right w:val="single" w:color="auto" w:sz="4" w:space="0"/>
            </w:tcBorders>
            <w:vAlign w:val="center"/>
          </w:tcPr>
          <w:p w14:paraId="6995323F">
            <w:pPr>
              <w:widowControl/>
              <w:jc w:val="center"/>
              <w:rPr>
                <w:rFonts w:ascii="宋体" w:hAnsi="宋体" w:cs="宋体"/>
                <w:kern w:val="0"/>
                <w:sz w:val="20"/>
                <w:szCs w:val="20"/>
              </w:rPr>
            </w:pPr>
            <w:r>
              <w:rPr>
                <w:rFonts w:hint="eastAsia" w:ascii="宋体" w:hAnsi="宋体" w:cs="宋体"/>
                <w:kern w:val="0"/>
                <w:sz w:val="20"/>
                <w:szCs w:val="20"/>
              </w:rPr>
              <w:t>　</w:t>
            </w:r>
          </w:p>
        </w:tc>
      </w:tr>
      <w:tr w14:paraId="748D5907">
        <w:tblPrEx>
          <w:tblCellMar>
            <w:top w:w="0" w:type="dxa"/>
            <w:left w:w="108" w:type="dxa"/>
            <w:bottom w:w="0" w:type="dxa"/>
            <w:right w:w="108" w:type="dxa"/>
          </w:tblCellMar>
        </w:tblPrEx>
        <w:trPr>
          <w:trHeight w:val="525" w:hRule="atLeast"/>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7179F2B7">
            <w:pPr>
              <w:widowControl/>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5CBBFD3">
            <w:pPr>
              <w:widowControl/>
              <w:jc w:val="center"/>
              <w:rPr>
                <w:rFonts w:ascii="宋体" w:hAnsi="宋体" w:cs="宋体"/>
                <w:kern w:val="0"/>
                <w:sz w:val="20"/>
                <w:szCs w:val="20"/>
              </w:rPr>
            </w:pPr>
          </w:p>
        </w:tc>
        <w:tc>
          <w:tcPr>
            <w:tcW w:w="575" w:type="dxa"/>
            <w:vMerge w:val="continue"/>
            <w:tcBorders>
              <w:top w:val="single" w:color="auto" w:sz="4" w:space="0"/>
              <w:left w:val="single" w:color="auto" w:sz="4" w:space="0"/>
              <w:bottom w:val="single" w:color="auto" w:sz="4" w:space="0"/>
              <w:right w:val="single" w:color="auto" w:sz="4" w:space="0"/>
            </w:tcBorders>
            <w:vAlign w:val="center"/>
          </w:tcPr>
          <w:p w14:paraId="14691DF5">
            <w:pPr>
              <w:widowControl/>
              <w:jc w:val="center"/>
              <w:rPr>
                <w:rFonts w:ascii="宋体" w:hAnsi="宋体" w:cs="宋体"/>
                <w:kern w:val="0"/>
                <w:sz w:val="20"/>
                <w:szCs w:val="20"/>
              </w:rPr>
            </w:pPr>
          </w:p>
        </w:tc>
        <w:tc>
          <w:tcPr>
            <w:tcW w:w="5333" w:type="dxa"/>
            <w:vMerge w:val="continue"/>
            <w:tcBorders>
              <w:top w:val="single" w:color="auto" w:sz="4" w:space="0"/>
              <w:left w:val="single" w:color="auto" w:sz="4" w:space="0"/>
              <w:bottom w:val="single" w:color="auto" w:sz="4" w:space="0"/>
              <w:right w:val="single" w:color="auto" w:sz="4" w:space="0"/>
            </w:tcBorders>
            <w:vAlign w:val="center"/>
          </w:tcPr>
          <w:p w14:paraId="22E53A30">
            <w:pPr>
              <w:widowControl/>
              <w:jc w:val="left"/>
              <w:rPr>
                <w:rFonts w:ascii="宋体" w:hAnsi="宋体" w:cs="宋体"/>
                <w:kern w:val="0"/>
                <w:sz w:val="20"/>
                <w:szCs w:val="20"/>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14:paraId="7D51BA88">
            <w:pPr>
              <w:widowControl/>
              <w:jc w:val="center"/>
              <w:rPr>
                <w:rFonts w:ascii="宋体" w:hAnsi="宋体" w:cs="宋体"/>
                <w:kern w:val="0"/>
                <w:sz w:val="20"/>
                <w:szCs w:val="20"/>
              </w:rPr>
            </w:pPr>
          </w:p>
        </w:tc>
        <w:tc>
          <w:tcPr>
            <w:tcW w:w="1727" w:type="dxa"/>
            <w:vMerge w:val="continue"/>
            <w:tcBorders>
              <w:top w:val="single" w:color="auto" w:sz="4" w:space="0"/>
              <w:left w:val="single" w:color="auto" w:sz="4" w:space="0"/>
              <w:bottom w:val="single" w:color="auto" w:sz="4" w:space="0"/>
              <w:right w:val="single" w:color="auto" w:sz="4" w:space="0"/>
            </w:tcBorders>
            <w:vAlign w:val="center"/>
          </w:tcPr>
          <w:p w14:paraId="7D374E62">
            <w:pPr>
              <w:widowControl/>
              <w:jc w:val="center"/>
              <w:rPr>
                <w:rFonts w:ascii="宋体" w:hAnsi="宋体" w:cs="宋体"/>
                <w:kern w:val="0"/>
                <w:sz w:val="20"/>
                <w:szCs w:val="20"/>
              </w:rPr>
            </w:pPr>
          </w:p>
        </w:tc>
      </w:tr>
      <w:tr w14:paraId="3EF9CEC4">
        <w:tblPrEx>
          <w:tblCellMar>
            <w:top w:w="0" w:type="dxa"/>
            <w:left w:w="108" w:type="dxa"/>
            <w:bottom w:w="0" w:type="dxa"/>
            <w:right w:w="108" w:type="dxa"/>
          </w:tblCellMar>
        </w:tblPrEx>
        <w:trPr>
          <w:trHeight w:val="525" w:hRule="atLeast"/>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6E0D3765">
            <w:pPr>
              <w:widowControl/>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0510303">
            <w:pPr>
              <w:widowControl/>
              <w:jc w:val="center"/>
              <w:rPr>
                <w:rFonts w:ascii="宋体" w:hAnsi="宋体" w:cs="宋体"/>
                <w:kern w:val="0"/>
                <w:sz w:val="20"/>
                <w:szCs w:val="20"/>
              </w:rPr>
            </w:pPr>
          </w:p>
        </w:tc>
        <w:tc>
          <w:tcPr>
            <w:tcW w:w="575" w:type="dxa"/>
            <w:vMerge w:val="continue"/>
            <w:tcBorders>
              <w:top w:val="single" w:color="auto" w:sz="4" w:space="0"/>
              <w:left w:val="single" w:color="auto" w:sz="4" w:space="0"/>
              <w:bottom w:val="single" w:color="auto" w:sz="4" w:space="0"/>
              <w:right w:val="single" w:color="auto" w:sz="4" w:space="0"/>
            </w:tcBorders>
            <w:vAlign w:val="center"/>
          </w:tcPr>
          <w:p w14:paraId="2925A681">
            <w:pPr>
              <w:widowControl/>
              <w:jc w:val="center"/>
              <w:rPr>
                <w:rFonts w:ascii="宋体" w:hAnsi="宋体" w:cs="宋体"/>
                <w:kern w:val="0"/>
                <w:sz w:val="20"/>
                <w:szCs w:val="20"/>
              </w:rPr>
            </w:pPr>
          </w:p>
        </w:tc>
        <w:tc>
          <w:tcPr>
            <w:tcW w:w="5333" w:type="dxa"/>
            <w:vMerge w:val="continue"/>
            <w:tcBorders>
              <w:top w:val="single" w:color="auto" w:sz="4" w:space="0"/>
              <w:left w:val="single" w:color="auto" w:sz="4" w:space="0"/>
              <w:bottom w:val="single" w:color="auto" w:sz="4" w:space="0"/>
              <w:right w:val="single" w:color="auto" w:sz="4" w:space="0"/>
            </w:tcBorders>
            <w:vAlign w:val="center"/>
          </w:tcPr>
          <w:p w14:paraId="5C014E0A">
            <w:pPr>
              <w:widowControl/>
              <w:jc w:val="left"/>
              <w:rPr>
                <w:rFonts w:ascii="宋体" w:hAnsi="宋体" w:cs="宋体"/>
                <w:kern w:val="0"/>
                <w:sz w:val="20"/>
                <w:szCs w:val="20"/>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14:paraId="296E4F51">
            <w:pPr>
              <w:widowControl/>
              <w:jc w:val="center"/>
              <w:rPr>
                <w:rFonts w:ascii="宋体" w:hAnsi="宋体" w:cs="宋体"/>
                <w:kern w:val="0"/>
                <w:sz w:val="20"/>
                <w:szCs w:val="20"/>
              </w:rPr>
            </w:pPr>
          </w:p>
        </w:tc>
        <w:tc>
          <w:tcPr>
            <w:tcW w:w="1727" w:type="dxa"/>
            <w:vMerge w:val="continue"/>
            <w:tcBorders>
              <w:top w:val="single" w:color="auto" w:sz="4" w:space="0"/>
              <w:left w:val="single" w:color="auto" w:sz="4" w:space="0"/>
              <w:bottom w:val="single" w:color="auto" w:sz="4" w:space="0"/>
              <w:right w:val="single" w:color="auto" w:sz="4" w:space="0"/>
            </w:tcBorders>
            <w:vAlign w:val="center"/>
          </w:tcPr>
          <w:p w14:paraId="25FD368E">
            <w:pPr>
              <w:widowControl/>
              <w:jc w:val="center"/>
              <w:rPr>
                <w:rFonts w:ascii="宋体" w:hAnsi="宋体" w:cs="宋体"/>
                <w:kern w:val="0"/>
                <w:sz w:val="20"/>
                <w:szCs w:val="20"/>
              </w:rPr>
            </w:pPr>
          </w:p>
        </w:tc>
      </w:tr>
      <w:tr w14:paraId="66E0B465">
        <w:tblPrEx>
          <w:tblCellMar>
            <w:top w:w="0" w:type="dxa"/>
            <w:left w:w="108" w:type="dxa"/>
            <w:bottom w:w="0" w:type="dxa"/>
            <w:right w:w="108" w:type="dxa"/>
          </w:tblCellMar>
        </w:tblPrEx>
        <w:trPr>
          <w:trHeight w:val="525" w:hRule="atLeast"/>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30EC0AE8">
            <w:pPr>
              <w:widowControl/>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21A9BC55">
            <w:pPr>
              <w:widowControl/>
              <w:jc w:val="center"/>
              <w:rPr>
                <w:rFonts w:ascii="宋体" w:hAnsi="宋体" w:cs="宋体"/>
                <w:kern w:val="0"/>
                <w:sz w:val="20"/>
                <w:szCs w:val="20"/>
              </w:rPr>
            </w:pPr>
          </w:p>
        </w:tc>
        <w:tc>
          <w:tcPr>
            <w:tcW w:w="575" w:type="dxa"/>
            <w:vMerge w:val="continue"/>
            <w:tcBorders>
              <w:top w:val="single" w:color="auto" w:sz="4" w:space="0"/>
              <w:left w:val="single" w:color="auto" w:sz="4" w:space="0"/>
              <w:bottom w:val="single" w:color="auto" w:sz="4" w:space="0"/>
              <w:right w:val="single" w:color="auto" w:sz="4" w:space="0"/>
            </w:tcBorders>
            <w:vAlign w:val="center"/>
          </w:tcPr>
          <w:p w14:paraId="03A78B83">
            <w:pPr>
              <w:widowControl/>
              <w:jc w:val="center"/>
              <w:rPr>
                <w:rFonts w:ascii="宋体" w:hAnsi="宋体" w:cs="宋体"/>
                <w:kern w:val="0"/>
                <w:sz w:val="20"/>
                <w:szCs w:val="20"/>
              </w:rPr>
            </w:pPr>
          </w:p>
        </w:tc>
        <w:tc>
          <w:tcPr>
            <w:tcW w:w="5333" w:type="dxa"/>
            <w:vMerge w:val="continue"/>
            <w:tcBorders>
              <w:top w:val="single" w:color="auto" w:sz="4" w:space="0"/>
              <w:left w:val="single" w:color="auto" w:sz="4" w:space="0"/>
              <w:bottom w:val="single" w:color="auto" w:sz="4" w:space="0"/>
              <w:right w:val="single" w:color="auto" w:sz="4" w:space="0"/>
            </w:tcBorders>
            <w:vAlign w:val="center"/>
          </w:tcPr>
          <w:p w14:paraId="6E001AE8">
            <w:pPr>
              <w:widowControl/>
              <w:jc w:val="left"/>
              <w:rPr>
                <w:rFonts w:ascii="宋体" w:hAnsi="宋体" w:cs="宋体"/>
                <w:kern w:val="0"/>
                <w:sz w:val="20"/>
                <w:szCs w:val="20"/>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14:paraId="39557C39">
            <w:pPr>
              <w:widowControl/>
              <w:jc w:val="center"/>
              <w:rPr>
                <w:rFonts w:ascii="宋体" w:hAnsi="宋体" w:cs="宋体"/>
                <w:kern w:val="0"/>
                <w:sz w:val="20"/>
                <w:szCs w:val="20"/>
              </w:rPr>
            </w:pPr>
          </w:p>
        </w:tc>
        <w:tc>
          <w:tcPr>
            <w:tcW w:w="1727" w:type="dxa"/>
            <w:vMerge w:val="continue"/>
            <w:tcBorders>
              <w:top w:val="single" w:color="auto" w:sz="4" w:space="0"/>
              <w:left w:val="single" w:color="auto" w:sz="4" w:space="0"/>
              <w:bottom w:val="single" w:color="auto" w:sz="4" w:space="0"/>
              <w:right w:val="single" w:color="auto" w:sz="4" w:space="0"/>
            </w:tcBorders>
            <w:vAlign w:val="center"/>
          </w:tcPr>
          <w:p w14:paraId="07675888">
            <w:pPr>
              <w:widowControl/>
              <w:jc w:val="center"/>
              <w:rPr>
                <w:rFonts w:ascii="宋体" w:hAnsi="宋体" w:cs="宋体"/>
                <w:kern w:val="0"/>
                <w:sz w:val="20"/>
                <w:szCs w:val="20"/>
              </w:rPr>
            </w:pPr>
          </w:p>
        </w:tc>
      </w:tr>
      <w:tr w14:paraId="3D8F21B5">
        <w:tblPrEx>
          <w:tblCellMar>
            <w:top w:w="0" w:type="dxa"/>
            <w:left w:w="108" w:type="dxa"/>
            <w:bottom w:w="0" w:type="dxa"/>
            <w:right w:w="108" w:type="dxa"/>
          </w:tblCellMar>
        </w:tblPrEx>
        <w:trPr>
          <w:trHeight w:val="525" w:hRule="atLeast"/>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390A45D3">
            <w:pPr>
              <w:widowControl/>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B6285B5">
            <w:pPr>
              <w:widowControl/>
              <w:jc w:val="center"/>
              <w:rPr>
                <w:rFonts w:ascii="宋体" w:hAnsi="宋体" w:cs="宋体"/>
                <w:kern w:val="0"/>
                <w:sz w:val="20"/>
                <w:szCs w:val="20"/>
              </w:rPr>
            </w:pPr>
          </w:p>
        </w:tc>
        <w:tc>
          <w:tcPr>
            <w:tcW w:w="575" w:type="dxa"/>
            <w:vMerge w:val="continue"/>
            <w:tcBorders>
              <w:top w:val="single" w:color="auto" w:sz="4" w:space="0"/>
              <w:left w:val="single" w:color="auto" w:sz="4" w:space="0"/>
              <w:bottom w:val="single" w:color="auto" w:sz="4" w:space="0"/>
              <w:right w:val="single" w:color="auto" w:sz="4" w:space="0"/>
            </w:tcBorders>
            <w:vAlign w:val="center"/>
          </w:tcPr>
          <w:p w14:paraId="20AFF6D0">
            <w:pPr>
              <w:widowControl/>
              <w:jc w:val="center"/>
              <w:rPr>
                <w:rFonts w:ascii="宋体" w:hAnsi="宋体" w:cs="宋体"/>
                <w:kern w:val="0"/>
                <w:sz w:val="20"/>
                <w:szCs w:val="20"/>
              </w:rPr>
            </w:pPr>
          </w:p>
        </w:tc>
        <w:tc>
          <w:tcPr>
            <w:tcW w:w="5333" w:type="dxa"/>
            <w:vMerge w:val="continue"/>
            <w:tcBorders>
              <w:top w:val="single" w:color="auto" w:sz="4" w:space="0"/>
              <w:left w:val="single" w:color="auto" w:sz="4" w:space="0"/>
              <w:bottom w:val="single" w:color="auto" w:sz="4" w:space="0"/>
              <w:right w:val="single" w:color="auto" w:sz="4" w:space="0"/>
            </w:tcBorders>
            <w:vAlign w:val="center"/>
          </w:tcPr>
          <w:p w14:paraId="5474AB5E">
            <w:pPr>
              <w:widowControl/>
              <w:jc w:val="left"/>
              <w:rPr>
                <w:rFonts w:ascii="宋体" w:hAnsi="宋体" w:cs="宋体"/>
                <w:kern w:val="0"/>
                <w:sz w:val="20"/>
                <w:szCs w:val="20"/>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14:paraId="74D9F0B3">
            <w:pPr>
              <w:widowControl/>
              <w:jc w:val="center"/>
              <w:rPr>
                <w:rFonts w:ascii="宋体" w:hAnsi="宋体" w:cs="宋体"/>
                <w:kern w:val="0"/>
                <w:sz w:val="20"/>
                <w:szCs w:val="20"/>
              </w:rPr>
            </w:pPr>
          </w:p>
        </w:tc>
        <w:tc>
          <w:tcPr>
            <w:tcW w:w="1727" w:type="dxa"/>
            <w:vMerge w:val="continue"/>
            <w:tcBorders>
              <w:top w:val="single" w:color="auto" w:sz="4" w:space="0"/>
              <w:left w:val="single" w:color="auto" w:sz="4" w:space="0"/>
              <w:bottom w:val="single" w:color="auto" w:sz="4" w:space="0"/>
              <w:right w:val="single" w:color="auto" w:sz="4" w:space="0"/>
            </w:tcBorders>
            <w:vAlign w:val="center"/>
          </w:tcPr>
          <w:p w14:paraId="6206957C">
            <w:pPr>
              <w:widowControl/>
              <w:jc w:val="center"/>
              <w:rPr>
                <w:rFonts w:ascii="宋体" w:hAnsi="宋体" w:cs="宋体"/>
                <w:kern w:val="0"/>
                <w:sz w:val="20"/>
                <w:szCs w:val="20"/>
              </w:rPr>
            </w:pPr>
          </w:p>
        </w:tc>
      </w:tr>
      <w:tr w14:paraId="13B40077">
        <w:tblPrEx>
          <w:tblCellMar>
            <w:top w:w="0" w:type="dxa"/>
            <w:left w:w="108" w:type="dxa"/>
            <w:bottom w:w="0" w:type="dxa"/>
            <w:right w:w="108" w:type="dxa"/>
          </w:tblCellMar>
        </w:tblPrEx>
        <w:trPr>
          <w:trHeight w:val="555" w:hRule="atLeast"/>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38FB5D07">
            <w:pPr>
              <w:widowControl/>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DDC1426">
            <w:pPr>
              <w:widowControl/>
              <w:jc w:val="center"/>
              <w:rPr>
                <w:rFonts w:ascii="宋体" w:hAnsi="宋体" w:cs="宋体"/>
                <w:kern w:val="0"/>
                <w:sz w:val="20"/>
                <w:szCs w:val="20"/>
              </w:rPr>
            </w:pPr>
          </w:p>
        </w:tc>
        <w:tc>
          <w:tcPr>
            <w:tcW w:w="575" w:type="dxa"/>
            <w:vMerge w:val="continue"/>
            <w:tcBorders>
              <w:top w:val="single" w:color="auto" w:sz="4" w:space="0"/>
              <w:left w:val="single" w:color="auto" w:sz="4" w:space="0"/>
              <w:bottom w:val="single" w:color="auto" w:sz="4" w:space="0"/>
              <w:right w:val="single" w:color="auto" w:sz="4" w:space="0"/>
            </w:tcBorders>
            <w:vAlign w:val="center"/>
          </w:tcPr>
          <w:p w14:paraId="6F6375DB">
            <w:pPr>
              <w:widowControl/>
              <w:jc w:val="center"/>
              <w:rPr>
                <w:rFonts w:ascii="宋体" w:hAnsi="宋体" w:cs="宋体"/>
                <w:kern w:val="0"/>
                <w:sz w:val="20"/>
                <w:szCs w:val="20"/>
              </w:rPr>
            </w:pPr>
          </w:p>
        </w:tc>
        <w:tc>
          <w:tcPr>
            <w:tcW w:w="5333" w:type="dxa"/>
            <w:vMerge w:val="continue"/>
            <w:tcBorders>
              <w:top w:val="single" w:color="auto" w:sz="4" w:space="0"/>
              <w:left w:val="single" w:color="auto" w:sz="4" w:space="0"/>
              <w:bottom w:val="single" w:color="auto" w:sz="4" w:space="0"/>
              <w:right w:val="single" w:color="auto" w:sz="4" w:space="0"/>
            </w:tcBorders>
            <w:vAlign w:val="center"/>
          </w:tcPr>
          <w:p w14:paraId="1EE5AD93">
            <w:pPr>
              <w:widowControl/>
              <w:jc w:val="left"/>
              <w:rPr>
                <w:rFonts w:ascii="宋体" w:hAnsi="宋体" w:cs="宋体"/>
                <w:kern w:val="0"/>
                <w:sz w:val="20"/>
                <w:szCs w:val="20"/>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14:paraId="7A42465D">
            <w:pPr>
              <w:widowControl/>
              <w:jc w:val="center"/>
              <w:rPr>
                <w:rFonts w:ascii="宋体" w:hAnsi="宋体" w:cs="宋体"/>
                <w:kern w:val="0"/>
                <w:sz w:val="20"/>
                <w:szCs w:val="20"/>
              </w:rPr>
            </w:pPr>
          </w:p>
        </w:tc>
        <w:tc>
          <w:tcPr>
            <w:tcW w:w="1727" w:type="dxa"/>
            <w:vMerge w:val="continue"/>
            <w:tcBorders>
              <w:top w:val="single" w:color="auto" w:sz="4" w:space="0"/>
              <w:left w:val="single" w:color="auto" w:sz="4" w:space="0"/>
              <w:bottom w:val="single" w:color="auto" w:sz="4" w:space="0"/>
              <w:right w:val="single" w:color="auto" w:sz="4" w:space="0"/>
            </w:tcBorders>
            <w:vAlign w:val="center"/>
          </w:tcPr>
          <w:p w14:paraId="74F3D193">
            <w:pPr>
              <w:widowControl/>
              <w:jc w:val="center"/>
              <w:rPr>
                <w:rFonts w:ascii="宋体" w:hAnsi="宋体" w:cs="宋体"/>
                <w:kern w:val="0"/>
                <w:sz w:val="20"/>
                <w:szCs w:val="20"/>
              </w:rPr>
            </w:pPr>
          </w:p>
        </w:tc>
      </w:tr>
      <w:tr w14:paraId="754F4F4F">
        <w:tblPrEx>
          <w:tblCellMar>
            <w:top w:w="0" w:type="dxa"/>
            <w:left w:w="108" w:type="dxa"/>
            <w:bottom w:w="0" w:type="dxa"/>
            <w:right w:w="108" w:type="dxa"/>
          </w:tblCellMar>
        </w:tblPrEx>
        <w:trPr>
          <w:trHeight w:val="3743" w:hRule="atLeast"/>
        </w:trPr>
        <w:tc>
          <w:tcPr>
            <w:tcW w:w="428" w:type="dxa"/>
            <w:tcBorders>
              <w:top w:val="single" w:color="auto" w:sz="4" w:space="0"/>
              <w:left w:val="single" w:color="auto" w:sz="4" w:space="0"/>
              <w:bottom w:val="single" w:color="auto" w:sz="4" w:space="0"/>
              <w:right w:val="single" w:color="auto" w:sz="4" w:space="0"/>
            </w:tcBorders>
            <w:vAlign w:val="center"/>
          </w:tcPr>
          <w:p w14:paraId="717B2B10">
            <w:pPr>
              <w:widowControl/>
              <w:jc w:val="center"/>
              <w:rPr>
                <w:rFonts w:ascii="宋体" w:hAnsi="宋体" w:cs="宋体"/>
                <w:kern w:val="0"/>
                <w:sz w:val="20"/>
                <w:szCs w:val="20"/>
              </w:rPr>
            </w:pPr>
            <w:r>
              <w:rPr>
                <w:rFonts w:hint="eastAsia" w:ascii="宋体" w:hAnsi="宋体" w:cs="宋体"/>
                <w:kern w:val="0"/>
                <w:sz w:val="20"/>
                <w:szCs w:val="20"/>
              </w:rPr>
              <w:t>4</w:t>
            </w:r>
          </w:p>
        </w:tc>
        <w:tc>
          <w:tcPr>
            <w:tcW w:w="709" w:type="dxa"/>
            <w:tcBorders>
              <w:top w:val="single" w:color="auto" w:sz="4" w:space="0"/>
              <w:left w:val="single" w:color="auto" w:sz="4" w:space="0"/>
              <w:bottom w:val="single" w:color="auto" w:sz="4" w:space="0"/>
              <w:right w:val="single" w:color="auto" w:sz="4" w:space="0"/>
            </w:tcBorders>
            <w:vAlign w:val="center"/>
          </w:tcPr>
          <w:p w14:paraId="5A20C83E">
            <w:pPr>
              <w:widowControl/>
              <w:jc w:val="center"/>
              <w:rPr>
                <w:rFonts w:ascii="宋体" w:hAnsi="宋体" w:cs="宋体"/>
                <w:kern w:val="0"/>
                <w:sz w:val="20"/>
                <w:szCs w:val="20"/>
              </w:rPr>
            </w:pPr>
            <w:r>
              <w:rPr>
                <w:rFonts w:hint="eastAsia" w:ascii="宋体" w:hAnsi="宋体" w:cs="宋体"/>
                <w:kern w:val="0"/>
                <w:sz w:val="20"/>
                <w:szCs w:val="20"/>
              </w:rPr>
              <w:t>病</w:t>
            </w:r>
          </w:p>
          <w:p w14:paraId="63AF29C3">
            <w:pPr>
              <w:widowControl/>
              <w:jc w:val="center"/>
              <w:rPr>
                <w:rFonts w:ascii="宋体" w:hAnsi="宋体" w:cs="宋体"/>
                <w:kern w:val="0"/>
                <w:sz w:val="20"/>
                <w:szCs w:val="20"/>
              </w:rPr>
            </w:pPr>
            <w:r>
              <w:rPr>
                <w:rFonts w:hint="eastAsia" w:ascii="宋体" w:hAnsi="宋体" w:cs="宋体"/>
                <w:kern w:val="0"/>
                <w:sz w:val="20"/>
                <w:szCs w:val="20"/>
              </w:rPr>
              <w:t>虫</w:t>
            </w:r>
          </w:p>
          <w:p w14:paraId="06EF1AEB">
            <w:pPr>
              <w:widowControl/>
              <w:jc w:val="center"/>
              <w:rPr>
                <w:rFonts w:ascii="宋体" w:hAnsi="宋体" w:cs="宋体"/>
                <w:kern w:val="0"/>
                <w:sz w:val="20"/>
                <w:szCs w:val="20"/>
              </w:rPr>
            </w:pPr>
            <w:r>
              <w:rPr>
                <w:rFonts w:hint="eastAsia" w:ascii="宋体" w:hAnsi="宋体" w:cs="宋体"/>
                <w:kern w:val="0"/>
                <w:sz w:val="20"/>
                <w:szCs w:val="20"/>
              </w:rPr>
              <w:t>害</w:t>
            </w:r>
          </w:p>
          <w:p w14:paraId="7496653C">
            <w:pPr>
              <w:widowControl/>
              <w:jc w:val="center"/>
              <w:rPr>
                <w:rFonts w:ascii="宋体" w:hAnsi="宋体" w:cs="宋体"/>
                <w:kern w:val="0"/>
                <w:sz w:val="20"/>
                <w:szCs w:val="20"/>
              </w:rPr>
            </w:pPr>
            <w:r>
              <w:rPr>
                <w:rFonts w:hint="eastAsia" w:ascii="宋体" w:hAnsi="宋体" w:cs="宋体"/>
                <w:kern w:val="0"/>
                <w:sz w:val="20"/>
                <w:szCs w:val="20"/>
              </w:rPr>
              <w:t>防</w:t>
            </w:r>
          </w:p>
          <w:p w14:paraId="0725B490">
            <w:pPr>
              <w:widowControl/>
              <w:jc w:val="center"/>
              <w:rPr>
                <w:rFonts w:ascii="宋体" w:hAnsi="宋体" w:cs="宋体"/>
                <w:kern w:val="0"/>
                <w:sz w:val="20"/>
                <w:szCs w:val="20"/>
              </w:rPr>
            </w:pPr>
            <w:r>
              <w:rPr>
                <w:rFonts w:hint="eastAsia" w:ascii="宋体" w:hAnsi="宋体" w:cs="宋体"/>
                <w:kern w:val="0"/>
                <w:sz w:val="20"/>
                <w:szCs w:val="20"/>
              </w:rPr>
              <w:t>治</w:t>
            </w:r>
          </w:p>
        </w:tc>
        <w:tc>
          <w:tcPr>
            <w:tcW w:w="575" w:type="dxa"/>
            <w:tcBorders>
              <w:top w:val="single" w:color="auto" w:sz="4" w:space="0"/>
              <w:left w:val="single" w:color="auto" w:sz="4" w:space="0"/>
              <w:bottom w:val="single" w:color="auto" w:sz="4" w:space="0"/>
              <w:right w:val="single" w:color="auto" w:sz="4" w:space="0"/>
            </w:tcBorders>
            <w:vAlign w:val="center"/>
          </w:tcPr>
          <w:p w14:paraId="7C7AD845">
            <w:pPr>
              <w:widowControl/>
              <w:jc w:val="center"/>
              <w:rPr>
                <w:rFonts w:ascii="宋体" w:hAnsi="宋体" w:cs="宋体"/>
                <w:kern w:val="0"/>
                <w:sz w:val="20"/>
                <w:szCs w:val="20"/>
              </w:rPr>
            </w:pPr>
            <w:r>
              <w:rPr>
                <w:rFonts w:hint="eastAsia" w:ascii="宋体" w:hAnsi="宋体" w:cs="宋体"/>
                <w:kern w:val="0"/>
                <w:sz w:val="20"/>
                <w:szCs w:val="20"/>
              </w:rPr>
              <w:t>10</w:t>
            </w:r>
          </w:p>
        </w:tc>
        <w:tc>
          <w:tcPr>
            <w:tcW w:w="5333" w:type="dxa"/>
            <w:tcBorders>
              <w:top w:val="single" w:color="auto" w:sz="4" w:space="0"/>
              <w:left w:val="single" w:color="auto" w:sz="4" w:space="0"/>
              <w:bottom w:val="single" w:color="auto" w:sz="4" w:space="0"/>
              <w:right w:val="single" w:color="auto" w:sz="4" w:space="0"/>
            </w:tcBorders>
            <w:vAlign w:val="center"/>
          </w:tcPr>
          <w:p w14:paraId="5B858885">
            <w:pPr>
              <w:widowControl/>
              <w:jc w:val="left"/>
              <w:rPr>
                <w:rFonts w:ascii="宋体" w:hAnsi="宋体" w:cs="宋体"/>
                <w:kern w:val="0"/>
                <w:sz w:val="20"/>
                <w:szCs w:val="20"/>
              </w:rPr>
            </w:pPr>
            <w:r>
              <w:rPr>
                <w:rFonts w:hint="eastAsia" w:ascii="宋体" w:hAnsi="宋体" w:cs="宋体"/>
                <w:kern w:val="0"/>
                <w:sz w:val="20"/>
                <w:szCs w:val="20"/>
              </w:rPr>
              <w:t>发现病虫害，每处扣0.5分（1m2/处，抽样50m2/处），扣完为止。发现常见严重病虫害，不得分。</w:t>
            </w:r>
          </w:p>
        </w:tc>
        <w:tc>
          <w:tcPr>
            <w:tcW w:w="1459" w:type="dxa"/>
            <w:tcBorders>
              <w:top w:val="single" w:color="auto" w:sz="4" w:space="0"/>
              <w:left w:val="single" w:color="auto" w:sz="4" w:space="0"/>
              <w:bottom w:val="single" w:color="auto" w:sz="4" w:space="0"/>
              <w:right w:val="single" w:color="auto" w:sz="4" w:space="0"/>
            </w:tcBorders>
            <w:vAlign w:val="center"/>
          </w:tcPr>
          <w:p w14:paraId="5416949A">
            <w:pPr>
              <w:widowControl/>
              <w:jc w:val="center"/>
              <w:rPr>
                <w:rFonts w:ascii="宋体" w:hAnsi="宋体" w:cs="宋体"/>
                <w:kern w:val="0"/>
                <w:sz w:val="20"/>
                <w:szCs w:val="20"/>
              </w:rPr>
            </w:pPr>
            <w:r>
              <w:rPr>
                <w:rFonts w:hint="eastAsia" w:ascii="宋体" w:hAnsi="宋体" w:cs="宋体"/>
                <w:kern w:val="0"/>
                <w:sz w:val="20"/>
                <w:szCs w:val="20"/>
              </w:rPr>
              <w:t>病虫害盛发期（3-10月）每周抽样目测检查，其他时期每半月抽样目测检查</w:t>
            </w:r>
          </w:p>
        </w:tc>
        <w:tc>
          <w:tcPr>
            <w:tcW w:w="1727" w:type="dxa"/>
            <w:tcBorders>
              <w:top w:val="single" w:color="auto" w:sz="4" w:space="0"/>
              <w:left w:val="single" w:color="auto" w:sz="4" w:space="0"/>
              <w:bottom w:val="single" w:color="auto" w:sz="4" w:space="0"/>
              <w:right w:val="single" w:color="auto" w:sz="4" w:space="0"/>
            </w:tcBorders>
            <w:vAlign w:val="center"/>
          </w:tcPr>
          <w:p w14:paraId="7C3936B5">
            <w:pPr>
              <w:widowControl/>
              <w:jc w:val="center"/>
              <w:rPr>
                <w:rFonts w:ascii="宋体" w:hAnsi="宋体" w:cs="宋体"/>
                <w:kern w:val="0"/>
                <w:sz w:val="20"/>
                <w:szCs w:val="20"/>
              </w:rPr>
            </w:pPr>
            <w:r>
              <w:rPr>
                <w:rFonts w:hint="eastAsia" w:ascii="宋体" w:hAnsi="宋体" w:cs="宋体"/>
                <w:kern w:val="0"/>
                <w:sz w:val="20"/>
                <w:szCs w:val="20"/>
              </w:rPr>
              <w:t>　</w:t>
            </w:r>
          </w:p>
        </w:tc>
      </w:tr>
      <w:tr w14:paraId="16547568">
        <w:tblPrEx>
          <w:tblCellMar>
            <w:top w:w="0" w:type="dxa"/>
            <w:left w:w="108" w:type="dxa"/>
            <w:bottom w:w="0" w:type="dxa"/>
            <w:right w:w="108" w:type="dxa"/>
          </w:tblCellMar>
        </w:tblPrEx>
        <w:trPr>
          <w:trHeight w:val="312" w:hRule="atLeast"/>
        </w:trPr>
        <w:tc>
          <w:tcPr>
            <w:tcW w:w="428" w:type="dxa"/>
            <w:vMerge w:val="restart"/>
            <w:tcBorders>
              <w:top w:val="single" w:color="auto" w:sz="4" w:space="0"/>
              <w:left w:val="single" w:color="auto" w:sz="4" w:space="0"/>
              <w:bottom w:val="single" w:color="auto" w:sz="4" w:space="0"/>
              <w:right w:val="single" w:color="auto" w:sz="4" w:space="0"/>
            </w:tcBorders>
            <w:vAlign w:val="center"/>
          </w:tcPr>
          <w:p w14:paraId="22DD3635">
            <w:pPr>
              <w:widowControl/>
              <w:jc w:val="center"/>
              <w:rPr>
                <w:rFonts w:ascii="宋体" w:hAnsi="宋体" w:cs="宋体"/>
                <w:kern w:val="0"/>
                <w:sz w:val="20"/>
                <w:szCs w:val="20"/>
              </w:rPr>
            </w:pPr>
            <w:r>
              <w:rPr>
                <w:rFonts w:hint="eastAsia" w:ascii="宋体" w:hAnsi="宋体" w:cs="宋体"/>
                <w:kern w:val="0"/>
                <w:sz w:val="20"/>
                <w:szCs w:val="20"/>
              </w:rPr>
              <w:t>5</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4C28D0A2">
            <w:pPr>
              <w:widowControl/>
              <w:jc w:val="center"/>
              <w:rPr>
                <w:rFonts w:ascii="宋体" w:hAnsi="宋体" w:cs="宋体"/>
                <w:kern w:val="0"/>
                <w:sz w:val="20"/>
                <w:szCs w:val="20"/>
              </w:rPr>
            </w:pPr>
            <w:r>
              <w:rPr>
                <w:rFonts w:hint="eastAsia" w:ascii="宋体" w:hAnsi="宋体" w:cs="宋体"/>
                <w:kern w:val="0"/>
                <w:sz w:val="20"/>
                <w:szCs w:val="20"/>
              </w:rPr>
              <w:t>清除</w:t>
            </w:r>
          </w:p>
          <w:p w14:paraId="435270B7">
            <w:pPr>
              <w:widowControl/>
              <w:jc w:val="center"/>
              <w:rPr>
                <w:rFonts w:ascii="宋体" w:hAnsi="宋体" w:cs="宋体"/>
                <w:kern w:val="0"/>
                <w:sz w:val="20"/>
                <w:szCs w:val="20"/>
              </w:rPr>
            </w:pPr>
            <w:r>
              <w:rPr>
                <w:rFonts w:hint="eastAsia" w:ascii="宋体" w:hAnsi="宋体" w:cs="宋体"/>
                <w:kern w:val="0"/>
                <w:sz w:val="20"/>
                <w:szCs w:val="20"/>
              </w:rPr>
              <w:t>杂草</w:t>
            </w:r>
          </w:p>
          <w:p w14:paraId="51D29BB5">
            <w:pPr>
              <w:widowControl/>
              <w:jc w:val="center"/>
              <w:rPr>
                <w:rFonts w:ascii="宋体" w:hAnsi="宋体" w:cs="宋体"/>
                <w:kern w:val="0"/>
                <w:sz w:val="20"/>
                <w:szCs w:val="20"/>
              </w:rPr>
            </w:pPr>
            <w:r>
              <w:rPr>
                <w:rFonts w:hint="eastAsia" w:ascii="宋体" w:hAnsi="宋体" w:cs="宋体"/>
                <w:kern w:val="0"/>
                <w:sz w:val="20"/>
                <w:szCs w:val="20"/>
              </w:rPr>
              <w:t>、</w:t>
            </w:r>
            <w:r>
              <w:rPr>
                <w:rFonts w:hint="eastAsia" w:ascii="宋体" w:hAnsi="宋体" w:cs="宋体"/>
                <w:kern w:val="0"/>
                <w:sz w:val="20"/>
                <w:szCs w:val="20"/>
              </w:rPr>
              <w:br w:type="textWrapping"/>
            </w:r>
            <w:r>
              <w:rPr>
                <w:rFonts w:hint="eastAsia" w:ascii="宋体" w:hAnsi="宋体" w:cs="宋体"/>
                <w:kern w:val="0"/>
                <w:sz w:val="20"/>
                <w:szCs w:val="20"/>
              </w:rPr>
              <w:t>地形</w:t>
            </w:r>
          </w:p>
          <w:p w14:paraId="1AAEC6C0">
            <w:pPr>
              <w:widowControl/>
              <w:jc w:val="center"/>
              <w:rPr>
                <w:rFonts w:ascii="宋体" w:hAnsi="宋体" w:cs="宋体"/>
                <w:kern w:val="0"/>
                <w:sz w:val="20"/>
                <w:szCs w:val="20"/>
              </w:rPr>
            </w:pPr>
            <w:r>
              <w:rPr>
                <w:rFonts w:hint="eastAsia" w:ascii="宋体" w:hAnsi="宋体" w:cs="宋体"/>
                <w:kern w:val="0"/>
                <w:sz w:val="20"/>
                <w:szCs w:val="20"/>
              </w:rPr>
              <w:t>整理</w:t>
            </w:r>
          </w:p>
        </w:tc>
        <w:tc>
          <w:tcPr>
            <w:tcW w:w="575" w:type="dxa"/>
            <w:vMerge w:val="restart"/>
            <w:tcBorders>
              <w:top w:val="single" w:color="auto" w:sz="4" w:space="0"/>
              <w:left w:val="single" w:color="auto" w:sz="4" w:space="0"/>
              <w:bottom w:val="single" w:color="auto" w:sz="4" w:space="0"/>
              <w:right w:val="single" w:color="auto" w:sz="4" w:space="0"/>
            </w:tcBorders>
            <w:vAlign w:val="center"/>
          </w:tcPr>
          <w:p w14:paraId="7A9EF88E">
            <w:pPr>
              <w:widowControl/>
              <w:jc w:val="center"/>
              <w:rPr>
                <w:rFonts w:ascii="宋体" w:hAnsi="宋体" w:cs="宋体"/>
                <w:kern w:val="0"/>
                <w:sz w:val="20"/>
                <w:szCs w:val="20"/>
              </w:rPr>
            </w:pPr>
            <w:r>
              <w:rPr>
                <w:rFonts w:hint="eastAsia" w:ascii="宋体" w:hAnsi="宋体" w:cs="宋体"/>
                <w:kern w:val="0"/>
                <w:sz w:val="20"/>
                <w:szCs w:val="20"/>
              </w:rPr>
              <w:t>10</w:t>
            </w:r>
          </w:p>
        </w:tc>
        <w:tc>
          <w:tcPr>
            <w:tcW w:w="5333" w:type="dxa"/>
            <w:vMerge w:val="restart"/>
            <w:tcBorders>
              <w:top w:val="single" w:color="auto" w:sz="4" w:space="0"/>
              <w:left w:val="single" w:color="auto" w:sz="4" w:space="0"/>
              <w:bottom w:val="single" w:color="auto" w:sz="4" w:space="0"/>
              <w:right w:val="single" w:color="auto" w:sz="4" w:space="0"/>
            </w:tcBorders>
            <w:vAlign w:val="center"/>
          </w:tcPr>
          <w:p w14:paraId="28F550C8">
            <w:pPr>
              <w:widowControl/>
              <w:jc w:val="left"/>
              <w:rPr>
                <w:rFonts w:ascii="宋体" w:hAnsi="宋体" w:cs="宋体"/>
                <w:kern w:val="0"/>
                <w:sz w:val="20"/>
                <w:szCs w:val="20"/>
              </w:rPr>
            </w:pPr>
            <w:r>
              <w:rPr>
                <w:rFonts w:hint="eastAsia" w:ascii="宋体" w:hAnsi="宋体" w:cs="宋体"/>
                <w:kern w:val="0"/>
                <w:sz w:val="20"/>
                <w:szCs w:val="20"/>
              </w:rPr>
              <w:t>1.发现杂草丛生（每1m2/处）；</w:t>
            </w:r>
            <w:r>
              <w:rPr>
                <w:rFonts w:hint="eastAsia" w:ascii="宋体" w:hAnsi="宋体" w:cs="宋体"/>
                <w:kern w:val="0"/>
                <w:sz w:val="20"/>
                <w:szCs w:val="20"/>
              </w:rPr>
              <w:br w:type="textWrapping"/>
            </w:r>
            <w:r>
              <w:rPr>
                <w:rFonts w:hint="eastAsia" w:ascii="宋体" w:hAnsi="宋体" w:cs="宋体"/>
                <w:kern w:val="0"/>
                <w:sz w:val="20"/>
                <w:szCs w:val="20"/>
              </w:rPr>
              <w:t>2、发现土壤板结未及时松土；</w:t>
            </w:r>
            <w:r>
              <w:rPr>
                <w:rFonts w:hint="eastAsia" w:ascii="宋体" w:hAnsi="宋体" w:cs="宋体"/>
                <w:kern w:val="0"/>
                <w:sz w:val="20"/>
                <w:szCs w:val="20"/>
              </w:rPr>
              <w:br w:type="textWrapping"/>
            </w:r>
            <w:r>
              <w:rPr>
                <w:rFonts w:hint="eastAsia" w:ascii="宋体" w:hAnsi="宋体" w:cs="宋体"/>
                <w:kern w:val="0"/>
                <w:sz w:val="20"/>
                <w:szCs w:val="20"/>
              </w:rPr>
              <w:t>3、发现树穴多土、缺土或不平整；</w:t>
            </w:r>
            <w:r>
              <w:rPr>
                <w:rFonts w:hint="eastAsia" w:ascii="宋体" w:hAnsi="宋体" w:cs="宋体"/>
                <w:kern w:val="0"/>
                <w:sz w:val="20"/>
                <w:szCs w:val="20"/>
              </w:rPr>
              <w:br w:type="textWrapping"/>
            </w:r>
            <w:r>
              <w:rPr>
                <w:rFonts w:hint="eastAsia" w:ascii="宋体" w:hAnsi="宋体" w:cs="宋体"/>
                <w:kern w:val="0"/>
                <w:sz w:val="20"/>
                <w:szCs w:val="20"/>
              </w:rPr>
              <w:t>4、发现绿化带有明显堆土、凹土。</w:t>
            </w:r>
            <w:r>
              <w:rPr>
                <w:rFonts w:hint="eastAsia" w:ascii="宋体" w:hAnsi="宋体" w:cs="宋体"/>
                <w:kern w:val="0"/>
                <w:sz w:val="20"/>
                <w:szCs w:val="20"/>
              </w:rPr>
              <w:br w:type="textWrapping"/>
            </w:r>
            <w:r>
              <w:rPr>
                <w:rFonts w:hint="eastAsia" w:ascii="宋体" w:hAnsi="宋体" w:cs="宋体"/>
                <w:kern w:val="0"/>
                <w:sz w:val="20"/>
                <w:szCs w:val="20"/>
              </w:rPr>
              <w:t>以上每项扣0.5分（抽样100m2/处），扣完为止。</w:t>
            </w:r>
          </w:p>
        </w:tc>
        <w:tc>
          <w:tcPr>
            <w:tcW w:w="1459" w:type="dxa"/>
            <w:vMerge w:val="restart"/>
            <w:tcBorders>
              <w:top w:val="single" w:color="auto" w:sz="4" w:space="0"/>
              <w:left w:val="single" w:color="auto" w:sz="4" w:space="0"/>
              <w:bottom w:val="single" w:color="auto" w:sz="4" w:space="0"/>
              <w:right w:val="single" w:color="auto" w:sz="4" w:space="0"/>
            </w:tcBorders>
            <w:vAlign w:val="center"/>
          </w:tcPr>
          <w:p w14:paraId="3BDA2581">
            <w:pPr>
              <w:widowControl/>
              <w:jc w:val="center"/>
              <w:rPr>
                <w:rFonts w:ascii="宋体" w:hAnsi="宋体" w:cs="宋体"/>
                <w:kern w:val="0"/>
                <w:sz w:val="20"/>
                <w:szCs w:val="20"/>
              </w:rPr>
            </w:pPr>
            <w:r>
              <w:rPr>
                <w:rFonts w:hint="eastAsia" w:ascii="宋体" w:hAnsi="宋体" w:cs="宋体"/>
                <w:kern w:val="0"/>
                <w:sz w:val="20"/>
                <w:szCs w:val="20"/>
              </w:rPr>
              <w:t>每半月抽样</w:t>
            </w:r>
          </w:p>
          <w:p w14:paraId="16DF8709">
            <w:pPr>
              <w:widowControl/>
              <w:jc w:val="center"/>
              <w:rPr>
                <w:rFonts w:ascii="宋体" w:hAnsi="宋体" w:cs="宋体"/>
                <w:kern w:val="0"/>
                <w:sz w:val="20"/>
                <w:szCs w:val="20"/>
              </w:rPr>
            </w:pPr>
            <w:r>
              <w:rPr>
                <w:rFonts w:hint="eastAsia" w:ascii="宋体" w:hAnsi="宋体" w:cs="宋体"/>
                <w:kern w:val="0"/>
                <w:sz w:val="20"/>
                <w:szCs w:val="20"/>
              </w:rPr>
              <w:t>目测检查</w:t>
            </w:r>
          </w:p>
        </w:tc>
        <w:tc>
          <w:tcPr>
            <w:tcW w:w="1727" w:type="dxa"/>
            <w:vMerge w:val="restart"/>
            <w:tcBorders>
              <w:top w:val="single" w:color="auto" w:sz="4" w:space="0"/>
              <w:left w:val="single" w:color="auto" w:sz="4" w:space="0"/>
              <w:bottom w:val="single" w:color="auto" w:sz="4" w:space="0"/>
              <w:right w:val="single" w:color="auto" w:sz="4" w:space="0"/>
            </w:tcBorders>
            <w:vAlign w:val="center"/>
          </w:tcPr>
          <w:p w14:paraId="79EFFE57">
            <w:pPr>
              <w:widowControl/>
              <w:jc w:val="center"/>
              <w:rPr>
                <w:rFonts w:ascii="宋体" w:hAnsi="宋体" w:cs="宋体"/>
                <w:kern w:val="0"/>
                <w:sz w:val="20"/>
                <w:szCs w:val="20"/>
              </w:rPr>
            </w:pPr>
            <w:r>
              <w:rPr>
                <w:rFonts w:hint="eastAsia" w:ascii="宋体" w:hAnsi="宋体" w:cs="宋体"/>
                <w:kern w:val="0"/>
                <w:sz w:val="20"/>
                <w:szCs w:val="20"/>
              </w:rPr>
              <w:t>　</w:t>
            </w:r>
          </w:p>
        </w:tc>
      </w:tr>
      <w:tr w14:paraId="03F057B0">
        <w:tblPrEx>
          <w:tblCellMar>
            <w:top w:w="0" w:type="dxa"/>
            <w:left w:w="108" w:type="dxa"/>
            <w:bottom w:w="0" w:type="dxa"/>
            <w:right w:w="108" w:type="dxa"/>
          </w:tblCellMar>
        </w:tblPrEx>
        <w:trPr>
          <w:trHeight w:val="525" w:hRule="atLeast"/>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72968C6E">
            <w:pPr>
              <w:widowControl/>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68EB735">
            <w:pPr>
              <w:widowControl/>
              <w:jc w:val="center"/>
              <w:rPr>
                <w:rFonts w:ascii="宋体" w:hAnsi="宋体" w:cs="宋体"/>
                <w:kern w:val="0"/>
                <w:sz w:val="20"/>
                <w:szCs w:val="20"/>
              </w:rPr>
            </w:pPr>
          </w:p>
        </w:tc>
        <w:tc>
          <w:tcPr>
            <w:tcW w:w="575" w:type="dxa"/>
            <w:vMerge w:val="continue"/>
            <w:tcBorders>
              <w:top w:val="single" w:color="auto" w:sz="4" w:space="0"/>
              <w:left w:val="single" w:color="auto" w:sz="4" w:space="0"/>
              <w:bottom w:val="single" w:color="auto" w:sz="4" w:space="0"/>
              <w:right w:val="single" w:color="auto" w:sz="4" w:space="0"/>
            </w:tcBorders>
            <w:vAlign w:val="center"/>
          </w:tcPr>
          <w:p w14:paraId="60EEAD6F">
            <w:pPr>
              <w:widowControl/>
              <w:jc w:val="center"/>
              <w:rPr>
                <w:rFonts w:ascii="宋体" w:hAnsi="宋体" w:cs="宋体"/>
                <w:kern w:val="0"/>
                <w:sz w:val="20"/>
                <w:szCs w:val="20"/>
              </w:rPr>
            </w:pPr>
          </w:p>
        </w:tc>
        <w:tc>
          <w:tcPr>
            <w:tcW w:w="5333" w:type="dxa"/>
            <w:vMerge w:val="continue"/>
            <w:tcBorders>
              <w:top w:val="single" w:color="auto" w:sz="4" w:space="0"/>
              <w:left w:val="single" w:color="auto" w:sz="4" w:space="0"/>
              <w:bottom w:val="single" w:color="auto" w:sz="4" w:space="0"/>
              <w:right w:val="single" w:color="auto" w:sz="4" w:space="0"/>
            </w:tcBorders>
            <w:vAlign w:val="center"/>
          </w:tcPr>
          <w:p w14:paraId="1CF31E76">
            <w:pPr>
              <w:widowControl/>
              <w:jc w:val="left"/>
              <w:rPr>
                <w:rFonts w:ascii="宋体" w:hAnsi="宋体" w:cs="宋体"/>
                <w:kern w:val="0"/>
                <w:sz w:val="20"/>
                <w:szCs w:val="20"/>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14:paraId="43E90BF5">
            <w:pPr>
              <w:widowControl/>
              <w:jc w:val="center"/>
              <w:rPr>
                <w:rFonts w:ascii="宋体" w:hAnsi="宋体" w:cs="宋体"/>
                <w:kern w:val="0"/>
                <w:sz w:val="20"/>
                <w:szCs w:val="20"/>
              </w:rPr>
            </w:pPr>
          </w:p>
        </w:tc>
        <w:tc>
          <w:tcPr>
            <w:tcW w:w="1727" w:type="dxa"/>
            <w:vMerge w:val="continue"/>
            <w:tcBorders>
              <w:top w:val="single" w:color="auto" w:sz="4" w:space="0"/>
              <w:left w:val="single" w:color="auto" w:sz="4" w:space="0"/>
              <w:bottom w:val="single" w:color="auto" w:sz="4" w:space="0"/>
              <w:right w:val="single" w:color="auto" w:sz="4" w:space="0"/>
            </w:tcBorders>
            <w:vAlign w:val="center"/>
          </w:tcPr>
          <w:p w14:paraId="443F520C">
            <w:pPr>
              <w:widowControl/>
              <w:jc w:val="center"/>
              <w:rPr>
                <w:rFonts w:ascii="宋体" w:hAnsi="宋体" w:cs="宋体"/>
                <w:kern w:val="0"/>
                <w:sz w:val="20"/>
                <w:szCs w:val="20"/>
              </w:rPr>
            </w:pPr>
          </w:p>
        </w:tc>
      </w:tr>
      <w:tr w14:paraId="1CB70123">
        <w:tblPrEx>
          <w:tblCellMar>
            <w:top w:w="0" w:type="dxa"/>
            <w:left w:w="108" w:type="dxa"/>
            <w:bottom w:w="0" w:type="dxa"/>
            <w:right w:w="108" w:type="dxa"/>
          </w:tblCellMar>
        </w:tblPrEx>
        <w:trPr>
          <w:trHeight w:val="312" w:hRule="atLeast"/>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26DCACEA">
            <w:pPr>
              <w:widowControl/>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DA33502">
            <w:pPr>
              <w:widowControl/>
              <w:jc w:val="center"/>
              <w:rPr>
                <w:rFonts w:ascii="宋体" w:hAnsi="宋体" w:cs="宋体"/>
                <w:kern w:val="0"/>
                <w:sz w:val="20"/>
                <w:szCs w:val="20"/>
              </w:rPr>
            </w:pPr>
          </w:p>
        </w:tc>
        <w:tc>
          <w:tcPr>
            <w:tcW w:w="575" w:type="dxa"/>
            <w:vMerge w:val="continue"/>
            <w:tcBorders>
              <w:top w:val="single" w:color="auto" w:sz="4" w:space="0"/>
              <w:left w:val="single" w:color="auto" w:sz="4" w:space="0"/>
              <w:bottom w:val="single" w:color="auto" w:sz="4" w:space="0"/>
              <w:right w:val="single" w:color="auto" w:sz="4" w:space="0"/>
            </w:tcBorders>
            <w:vAlign w:val="center"/>
          </w:tcPr>
          <w:p w14:paraId="0EB2D76F">
            <w:pPr>
              <w:widowControl/>
              <w:jc w:val="center"/>
              <w:rPr>
                <w:rFonts w:ascii="宋体" w:hAnsi="宋体" w:cs="宋体"/>
                <w:kern w:val="0"/>
                <w:sz w:val="20"/>
                <w:szCs w:val="20"/>
              </w:rPr>
            </w:pPr>
          </w:p>
        </w:tc>
        <w:tc>
          <w:tcPr>
            <w:tcW w:w="5333" w:type="dxa"/>
            <w:vMerge w:val="continue"/>
            <w:tcBorders>
              <w:top w:val="single" w:color="auto" w:sz="4" w:space="0"/>
              <w:left w:val="single" w:color="auto" w:sz="4" w:space="0"/>
              <w:bottom w:val="single" w:color="auto" w:sz="4" w:space="0"/>
              <w:right w:val="single" w:color="auto" w:sz="4" w:space="0"/>
            </w:tcBorders>
            <w:vAlign w:val="center"/>
          </w:tcPr>
          <w:p w14:paraId="34AFA21D">
            <w:pPr>
              <w:widowControl/>
              <w:jc w:val="left"/>
              <w:rPr>
                <w:rFonts w:ascii="宋体" w:hAnsi="宋体" w:cs="宋体"/>
                <w:kern w:val="0"/>
                <w:sz w:val="20"/>
                <w:szCs w:val="20"/>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14:paraId="014CA78C">
            <w:pPr>
              <w:widowControl/>
              <w:jc w:val="center"/>
              <w:rPr>
                <w:rFonts w:ascii="宋体" w:hAnsi="宋体" w:cs="宋体"/>
                <w:kern w:val="0"/>
                <w:sz w:val="20"/>
                <w:szCs w:val="20"/>
              </w:rPr>
            </w:pPr>
          </w:p>
        </w:tc>
        <w:tc>
          <w:tcPr>
            <w:tcW w:w="1727" w:type="dxa"/>
            <w:vMerge w:val="continue"/>
            <w:tcBorders>
              <w:top w:val="single" w:color="auto" w:sz="4" w:space="0"/>
              <w:left w:val="single" w:color="auto" w:sz="4" w:space="0"/>
              <w:bottom w:val="single" w:color="auto" w:sz="4" w:space="0"/>
              <w:right w:val="single" w:color="auto" w:sz="4" w:space="0"/>
            </w:tcBorders>
            <w:vAlign w:val="center"/>
          </w:tcPr>
          <w:p w14:paraId="65116086">
            <w:pPr>
              <w:widowControl/>
              <w:jc w:val="center"/>
              <w:rPr>
                <w:rFonts w:ascii="宋体" w:hAnsi="宋体" w:cs="宋体"/>
                <w:kern w:val="0"/>
                <w:sz w:val="20"/>
                <w:szCs w:val="20"/>
              </w:rPr>
            </w:pPr>
          </w:p>
        </w:tc>
      </w:tr>
      <w:tr w14:paraId="63A315FA">
        <w:tblPrEx>
          <w:tblCellMar>
            <w:top w:w="0" w:type="dxa"/>
            <w:left w:w="108" w:type="dxa"/>
            <w:bottom w:w="0" w:type="dxa"/>
            <w:right w:w="108" w:type="dxa"/>
          </w:tblCellMar>
        </w:tblPrEx>
        <w:trPr>
          <w:trHeight w:val="525" w:hRule="atLeast"/>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0010F818">
            <w:pPr>
              <w:widowControl/>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6D1B8154">
            <w:pPr>
              <w:widowControl/>
              <w:jc w:val="center"/>
              <w:rPr>
                <w:rFonts w:ascii="宋体" w:hAnsi="宋体" w:cs="宋体"/>
                <w:kern w:val="0"/>
                <w:sz w:val="20"/>
                <w:szCs w:val="20"/>
              </w:rPr>
            </w:pPr>
          </w:p>
        </w:tc>
        <w:tc>
          <w:tcPr>
            <w:tcW w:w="575" w:type="dxa"/>
            <w:vMerge w:val="continue"/>
            <w:tcBorders>
              <w:top w:val="single" w:color="auto" w:sz="4" w:space="0"/>
              <w:left w:val="single" w:color="auto" w:sz="4" w:space="0"/>
              <w:bottom w:val="single" w:color="auto" w:sz="4" w:space="0"/>
              <w:right w:val="single" w:color="auto" w:sz="4" w:space="0"/>
            </w:tcBorders>
            <w:vAlign w:val="center"/>
          </w:tcPr>
          <w:p w14:paraId="31D6B735">
            <w:pPr>
              <w:widowControl/>
              <w:jc w:val="center"/>
              <w:rPr>
                <w:rFonts w:ascii="宋体" w:hAnsi="宋体" w:cs="宋体"/>
                <w:kern w:val="0"/>
                <w:sz w:val="20"/>
                <w:szCs w:val="20"/>
              </w:rPr>
            </w:pPr>
          </w:p>
        </w:tc>
        <w:tc>
          <w:tcPr>
            <w:tcW w:w="5333" w:type="dxa"/>
            <w:vMerge w:val="continue"/>
            <w:tcBorders>
              <w:top w:val="single" w:color="auto" w:sz="4" w:space="0"/>
              <w:left w:val="single" w:color="auto" w:sz="4" w:space="0"/>
              <w:bottom w:val="single" w:color="auto" w:sz="4" w:space="0"/>
              <w:right w:val="single" w:color="auto" w:sz="4" w:space="0"/>
            </w:tcBorders>
            <w:vAlign w:val="center"/>
          </w:tcPr>
          <w:p w14:paraId="462274D8">
            <w:pPr>
              <w:widowControl/>
              <w:jc w:val="left"/>
              <w:rPr>
                <w:rFonts w:ascii="宋体" w:hAnsi="宋体" w:cs="宋体"/>
                <w:kern w:val="0"/>
                <w:sz w:val="20"/>
                <w:szCs w:val="20"/>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14:paraId="3643A20E">
            <w:pPr>
              <w:widowControl/>
              <w:jc w:val="center"/>
              <w:rPr>
                <w:rFonts w:ascii="宋体" w:hAnsi="宋体" w:cs="宋体"/>
                <w:kern w:val="0"/>
                <w:sz w:val="20"/>
                <w:szCs w:val="20"/>
              </w:rPr>
            </w:pPr>
          </w:p>
        </w:tc>
        <w:tc>
          <w:tcPr>
            <w:tcW w:w="1727" w:type="dxa"/>
            <w:vMerge w:val="continue"/>
            <w:tcBorders>
              <w:top w:val="single" w:color="auto" w:sz="4" w:space="0"/>
              <w:left w:val="single" w:color="auto" w:sz="4" w:space="0"/>
              <w:bottom w:val="single" w:color="auto" w:sz="4" w:space="0"/>
              <w:right w:val="single" w:color="auto" w:sz="4" w:space="0"/>
            </w:tcBorders>
            <w:vAlign w:val="center"/>
          </w:tcPr>
          <w:p w14:paraId="1C510E8F">
            <w:pPr>
              <w:widowControl/>
              <w:jc w:val="center"/>
              <w:rPr>
                <w:rFonts w:ascii="宋体" w:hAnsi="宋体" w:cs="宋体"/>
                <w:kern w:val="0"/>
                <w:sz w:val="20"/>
                <w:szCs w:val="20"/>
              </w:rPr>
            </w:pPr>
          </w:p>
        </w:tc>
      </w:tr>
      <w:tr w14:paraId="567BDACE">
        <w:tblPrEx>
          <w:tblCellMar>
            <w:top w:w="0" w:type="dxa"/>
            <w:left w:w="108" w:type="dxa"/>
            <w:bottom w:w="0" w:type="dxa"/>
            <w:right w:w="108" w:type="dxa"/>
          </w:tblCellMar>
        </w:tblPrEx>
        <w:trPr>
          <w:trHeight w:val="312" w:hRule="atLeast"/>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27E42420">
            <w:pPr>
              <w:widowControl/>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AC15A1A">
            <w:pPr>
              <w:widowControl/>
              <w:jc w:val="center"/>
              <w:rPr>
                <w:rFonts w:ascii="宋体" w:hAnsi="宋体" w:cs="宋体"/>
                <w:kern w:val="0"/>
                <w:sz w:val="20"/>
                <w:szCs w:val="20"/>
              </w:rPr>
            </w:pPr>
          </w:p>
        </w:tc>
        <w:tc>
          <w:tcPr>
            <w:tcW w:w="575" w:type="dxa"/>
            <w:vMerge w:val="continue"/>
            <w:tcBorders>
              <w:top w:val="single" w:color="auto" w:sz="4" w:space="0"/>
              <w:left w:val="single" w:color="auto" w:sz="4" w:space="0"/>
              <w:bottom w:val="single" w:color="auto" w:sz="4" w:space="0"/>
              <w:right w:val="single" w:color="auto" w:sz="4" w:space="0"/>
            </w:tcBorders>
            <w:vAlign w:val="center"/>
          </w:tcPr>
          <w:p w14:paraId="2F96BFDF">
            <w:pPr>
              <w:widowControl/>
              <w:jc w:val="center"/>
              <w:rPr>
                <w:rFonts w:ascii="宋体" w:hAnsi="宋体" w:cs="宋体"/>
                <w:kern w:val="0"/>
                <w:sz w:val="20"/>
                <w:szCs w:val="20"/>
              </w:rPr>
            </w:pPr>
          </w:p>
        </w:tc>
        <w:tc>
          <w:tcPr>
            <w:tcW w:w="5333" w:type="dxa"/>
            <w:vMerge w:val="continue"/>
            <w:tcBorders>
              <w:top w:val="single" w:color="auto" w:sz="4" w:space="0"/>
              <w:left w:val="single" w:color="auto" w:sz="4" w:space="0"/>
              <w:bottom w:val="single" w:color="auto" w:sz="4" w:space="0"/>
              <w:right w:val="single" w:color="auto" w:sz="4" w:space="0"/>
            </w:tcBorders>
            <w:vAlign w:val="center"/>
          </w:tcPr>
          <w:p w14:paraId="75AC2F5A">
            <w:pPr>
              <w:widowControl/>
              <w:jc w:val="left"/>
              <w:rPr>
                <w:rFonts w:ascii="宋体" w:hAnsi="宋体" w:cs="宋体"/>
                <w:kern w:val="0"/>
                <w:sz w:val="20"/>
                <w:szCs w:val="20"/>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14:paraId="5F9D5304">
            <w:pPr>
              <w:widowControl/>
              <w:jc w:val="center"/>
              <w:rPr>
                <w:rFonts w:ascii="宋体" w:hAnsi="宋体" w:cs="宋体"/>
                <w:kern w:val="0"/>
                <w:sz w:val="20"/>
                <w:szCs w:val="20"/>
              </w:rPr>
            </w:pPr>
          </w:p>
        </w:tc>
        <w:tc>
          <w:tcPr>
            <w:tcW w:w="1727" w:type="dxa"/>
            <w:vMerge w:val="continue"/>
            <w:tcBorders>
              <w:top w:val="single" w:color="auto" w:sz="4" w:space="0"/>
              <w:left w:val="single" w:color="auto" w:sz="4" w:space="0"/>
              <w:bottom w:val="single" w:color="auto" w:sz="4" w:space="0"/>
              <w:right w:val="single" w:color="auto" w:sz="4" w:space="0"/>
            </w:tcBorders>
            <w:vAlign w:val="center"/>
          </w:tcPr>
          <w:p w14:paraId="57274AC5">
            <w:pPr>
              <w:widowControl/>
              <w:jc w:val="center"/>
              <w:rPr>
                <w:rFonts w:ascii="宋体" w:hAnsi="宋体" w:cs="宋体"/>
                <w:kern w:val="0"/>
                <w:sz w:val="20"/>
                <w:szCs w:val="20"/>
              </w:rPr>
            </w:pPr>
          </w:p>
        </w:tc>
      </w:tr>
      <w:tr w14:paraId="20274290">
        <w:tblPrEx>
          <w:tblCellMar>
            <w:top w:w="0" w:type="dxa"/>
            <w:left w:w="108" w:type="dxa"/>
            <w:bottom w:w="0" w:type="dxa"/>
            <w:right w:w="108" w:type="dxa"/>
          </w:tblCellMar>
        </w:tblPrEx>
        <w:trPr>
          <w:trHeight w:val="2510" w:hRule="atLeast"/>
        </w:trPr>
        <w:tc>
          <w:tcPr>
            <w:tcW w:w="428" w:type="dxa"/>
            <w:tcBorders>
              <w:top w:val="single" w:color="auto" w:sz="4" w:space="0"/>
              <w:left w:val="single" w:color="auto" w:sz="4" w:space="0"/>
              <w:bottom w:val="single" w:color="auto" w:sz="4" w:space="0"/>
              <w:right w:val="single" w:color="auto" w:sz="4" w:space="0"/>
            </w:tcBorders>
            <w:vAlign w:val="center"/>
          </w:tcPr>
          <w:p w14:paraId="3278B213">
            <w:pPr>
              <w:widowControl/>
              <w:jc w:val="center"/>
              <w:rPr>
                <w:rFonts w:ascii="宋体" w:hAnsi="宋体" w:cs="宋体"/>
                <w:kern w:val="0"/>
                <w:sz w:val="20"/>
                <w:szCs w:val="20"/>
              </w:rPr>
            </w:pPr>
            <w:r>
              <w:rPr>
                <w:rFonts w:hint="eastAsia" w:ascii="宋体" w:hAnsi="宋体" w:cs="宋体"/>
                <w:kern w:val="0"/>
                <w:sz w:val="20"/>
                <w:szCs w:val="20"/>
              </w:rPr>
              <w:t>6</w:t>
            </w:r>
          </w:p>
        </w:tc>
        <w:tc>
          <w:tcPr>
            <w:tcW w:w="709" w:type="dxa"/>
            <w:tcBorders>
              <w:top w:val="single" w:color="auto" w:sz="4" w:space="0"/>
              <w:left w:val="single" w:color="auto" w:sz="4" w:space="0"/>
              <w:bottom w:val="single" w:color="auto" w:sz="4" w:space="0"/>
              <w:right w:val="single" w:color="auto" w:sz="4" w:space="0"/>
            </w:tcBorders>
            <w:vAlign w:val="center"/>
          </w:tcPr>
          <w:p w14:paraId="5A03443D">
            <w:pPr>
              <w:widowControl/>
              <w:jc w:val="center"/>
              <w:rPr>
                <w:rFonts w:ascii="宋体" w:hAnsi="宋体" w:cs="宋体"/>
                <w:kern w:val="0"/>
                <w:sz w:val="20"/>
                <w:szCs w:val="20"/>
              </w:rPr>
            </w:pPr>
            <w:r>
              <w:rPr>
                <w:rFonts w:hint="eastAsia" w:ascii="宋体" w:hAnsi="宋体" w:cs="宋体"/>
                <w:kern w:val="0"/>
                <w:sz w:val="20"/>
                <w:szCs w:val="20"/>
              </w:rPr>
              <w:t>排灌</w:t>
            </w:r>
          </w:p>
          <w:p w14:paraId="1676C20F">
            <w:pPr>
              <w:widowControl/>
              <w:jc w:val="center"/>
              <w:rPr>
                <w:rFonts w:ascii="宋体" w:hAnsi="宋体" w:cs="宋体"/>
                <w:kern w:val="0"/>
                <w:sz w:val="20"/>
                <w:szCs w:val="20"/>
              </w:rPr>
            </w:pPr>
            <w:r>
              <w:rPr>
                <w:rFonts w:hint="eastAsia" w:ascii="宋体" w:hAnsi="宋体" w:cs="宋体"/>
                <w:kern w:val="0"/>
                <w:sz w:val="20"/>
                <w:szCs w:val="20"/>
              </w:rPr>
              <w:t>、</w:t>
            </w:r>
          </w:p>
          <w:p w14:paraId="20D9CD18">
            <w:pPr>
              <w:widowControl/>
              <w:jc w:val="center"/>
              <w:rPr>
                <w:rFonts w:ascii="宋体" w:hAnsi="宋体" w:cs="宋体"/>
                <w:kern w:val="0"/>
                <w:sz w:val="20"/>
                <w:szCs w:val="20"/>
              </w:rPr>
            </w:pPr>
            <w:r>
              <w:rPr>
                <w:rFonts w:hint="eastAsia" w:ascii="宋体" w:hAnsi="宋体" w:cs="宋体"/>
                <w:kern w:val="0"/>
                <w:sz w:val="20"/>
                <w:szCs w:val="20"/>
              </w:rPr>
              <w:t>施肥</w:t>
            </w:r>
          </w:p>
        </w:tc>
        <w:tc>
          <w:tcPr>
            <w:tcW w:w="575" w:type="dxa"/>
            <w:tcBorders>
              <w:top w:val="single" w:color="auto" w:sz="4" w:space="0"/>
              <w:left w:val="single" w:color="auto" w:sz="4" w:space="0"/>
              <w:bottom w:val="single" w:color="auto" w:sz="4" w:space="0"/>
              <w:right w:val="single" w:color="auto" w:sz="4" w:space="0"/>
            </w:tcBorders>
            <w:vAlign w:val="center"/>
          </w:tcPr>
          <w:p w14:paraId="45F7F65B">
            <w:pPr>
              <w:widowControl/>
              <w:jc w:val="center"/>
              <w:rPr>
                <w:rFonts w:ascii="宋体" w:hAnsi="宋体" w:cs="宋体"/>
                <w:kern w:val="0"/>
                <w:sz w:val="20"/>
                <w:szCs w:val="20"/>
              </w:rPr>
            </w:pPr>
            <w:r>
              <w:rPr>
                <w:rFonts w:hint="eastAsia" w:ascii="宋体" w:hAnsi="宋体" w:cs="宋体"/>
                <w:kern w:val="0"/>
                <w:sz w:val="20"/>
                <w:szCs w:val="20"/>
              </w:rPr>
              <w:t>5</w:t>
            </w:r>
          </w:p>
        </w:tc>
        <w:tc>
          <w:tcPr>
            <w:tcW w:w="5333" w:type="dxa"/>
            <w:tcBorders>
              <w:top w:val="single" w:color="auto" w:sz="4" w:space="0"/>
              <w:left w:val="single" w:color="auto" w:sz="4" w:space="0"/>
              <w:bottom w:val="single" w:color="auto" w:sz="4" w:space="0"/>
              <w:right w:val="single" w:color="auto" w:sz="4" w:space="0"/>
            </w:tcBorders>
            <w:vAlign w:val="center"/>
          </w:tcPr>
          <w:p w14:paraId="7E3519F1">
            <w:pPr>
              <w:widowControl/>
              <w:jc w:val="left"/>
              <w:rPr>
                <w:rFonts w:ascii="宋体" w:hAnsi="宋体" w:cs="宋体"/>
                <w:kern w:val="0"/>
                <w:sz w:val="20"/>
                <w:szCs w:val="20"/>
              </w:rPr>
            </w:pPr>
            <w:r>
              <w:rPr>
                <w:rFonts w:hint="eastAsia" w:ascii="宋体" w:hAnsi="宋体" w:cs="宋体"/>
                <w:kern w:val="0"/>
                <w:sz w:val="20"/>
                <w:szCs w:val="20"/>
              </w:rPr>
              <w:t>发现绿地内积水、苗木缺水、缺肥，每处扣0.5分（每1m2/处，抽样10m2/处），扣完为止。</w:t>
            </w:r>
          </w:p>
        </w:tc>
        <w:tc>
          <w:tcPr>
            <w:tcW w:w="1459" w:type="dxa"/>
            <w:tcBorders>
              <w:top w:val="single" w:color="auto" w:sz="4" w:space="0"/>
              <w:left w:val="single" w:color="auto" w:sz="4" w:space="0"/>
              <w:bottom w:val="single" w:color="auto" w:sz="4" w:space="0"/>
              <w:right w:val="single" w:color="auto" w:sz="4" w:space="0"/>
            </w:tcBorders>
            <w:vAlign w:val="center"/>
          </w:tcPr>
          <w:p w14:paraId="27D10CD2">
            <w:pPr>
              <w:widowControl/>
              <w:jc w:val="center"/>
              <w:rPr>
                <w:rFonts w:ascii="宋体" w:hAnsi="宋体" w:cs="宋体"/>
                <w:kern w:val="0"/>
                <w:sz w:val="20"/>
                <w:szCs w:val="20"/>
              </w:rPr>
            </w:pPr>
            <w:r>
              <w:rPr>
                <w:rFonts w:hint="eastAsia" w:ascii="宋体" w:hAnsi="宋体" w:cs="宋体"/>
                <w:kern w:val="0"/>
                <w:sz w:val="20"/>
                <w:szCs w:val="20"/>
              </w:rPr>
              <w:t>干旱多雨期每周抽样检查，其他时期每月抽样检查；施肥结合养护单位报告和现场抽样检查</w:t>
            </w:r>
          </w:p>
        </w:tc>
        <w:tc>
          <w:tcPr>
            <w:tcW w:w="1727" w:type="dxa"/>
            <w:tcBorders>
              <w:top w:val="single" w:color="auto" w:sz="4" w:space="0"/>
              <w:left w:val="single" w:color="auto" w:sz="4" w:space="0"/>
              <w:bottom w:val="single" w:color="auto" w:sz="4" w:space="0"/>
              <w:right w:val="single" w:color="auto" w:sz="4" w:space="0"/>
            </w:tcBorders>
            <w:vAlign w:val="center"/>
          </w:tcPr>
          <w:p w14:paraId="1AEACF15">
            <w:pPr>
              <w:widowControl/>
              <w:jc w:val="center"/>
              <w:rPr>
                <w:rFonts w:ascii="宋体" w:hAnsi="宋体" w:cs="宋体"/>
                <w:kern w:val="0"/>
                <w:sz w:val="20"/>
                <w:szCs w:val="20"/>
              </w:rPr>
            </w:pPr>
            <w:r>
              <w:rPr>
                <w:rFonts w:hint="eastAsia" w:ascii="宋体" w:hAnsi="宋体" w:cs="宋体"/>
                <w:kern w:val="0"/>
                <w:sz w:val="20"/>
                <w:szCs w:val="20"/>
              </w:rPr>
              <w:t>　</w:t>
            </w:r>
          </w:p>
        </w:tc>
      </w:tr>
      <w:tr w14:paraId="7B2650AF">
        <w:tblPrEx>
          <w:tblCellMar>
            <w:top w:w="0" w:type="dxa"/>
            <w:left w:w="108" w:type="dxa"/>
            <w:bottom w:w="0" w:type="dxa"/>
            <w:right w:w="108" w:type="dxa"/>
          </w:tblCellMar>
        </w:tblPrEx>
        <w:trPr>
          <w:trHeight w:val="765" w:hRule="atLeast"/>
        </w:trPr>
        <w:tc>
          <w:tcPr>
            <w:tcW w:w="428" w:type="dxa"/>
            <w:vMerge w:val="restart"/>
            <w:tcBorders>
              <w:top w:val="single" w:color="auto" w:sz="4" w:space="0"/>
              <w:left w:val="single" w:color="auto" w:sz="4" w:space="0"/>
              <w:bottom w:val="single" w:color="auto" w:sz="4" w:space="0"/>
              <w:right w:val="single" w:color="auto" w:sz="4" w:space="0"/>
            </w:tcBorders>
            <w:vAlign w:val="center"/>
          </w:tcPr>
          <w:p w14:paraId="5F775002">
            <w:pPr>
              <w:widowControl/>
              <w:jc w:val="center"/>
              <w:rPr>
                <w:rFonts w:ascii="宋体" w:hAnsi="宋体" w:cs="宋体"/>
                <w:kern w:val="0"/>
                <w:sz w:val="20"/>
                <w:szCs w:val="20"/>
              </w:rPr>
            </w:pPr>
            <w:r>
              <w:rPr>
                <w:rFonts w:hint="eastAsia" w:ascii="宋体" w:hAnsi="宋体" w:cs="宋体"/>
                <w:kern w:val="0"/>
                <w:sz w:val="20"/>
                <w:szCs w:val="20"/>
              </w:rPr>
              <w:t>7</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1DE0E819">
            <w:pPr>
              <w:widowControl/>
              <w:jc w:val="center"/>
              <w:rPr>
                <w:rFonts w:ascii="宋体" w:hAnsi="宋体" w:cs="宋体"/>
                <w:kern w:val="0"/>
                <w:sz w:val="20"/>
                <w:szCs w:val="20"/>
              </w:rPr>
            </w:pPr>
            <w:r>
              <w:rPr>
                <w:rFonts w:hint="eastAsia" w:ascii="宋体" w:hAnsi="宋体" w:cs="宋体"/>
                <w:kern w:val="0"/>
                <w:sz w:val="20"/>
                <w:szCs w:val="20"/>
              </w:rPr>
              <w:t>补植</w:t>
            </w:r>
          </w:p>
        </w:tc>
        <w:tc>
          <w:tcPr>
            <w:tcW w:w="575" w:type="dxa"/>
            <w:vMerge w:val="restart"/>
            <w:tcBorders>
              <w:top w:val="single" w:color="auto" w:sz="4" w:space="0"/>
              <w:left w:val="single" w:color="auto" w:sz="4" w:space="0"/>
              <w:bottom w:val="single" w:color="auto" w:sz="4" w:space="0"/>
              <w:right w:val="single" w:color="auto" w:sz="4" w:space="0"/>
            </w:tcBorders>
            <w:vAlign w:val="center"/>
          </w:tcPr>
          <w:p w14:paraId="74117C20">
            <w:pPr>
              <w:widowControl/>
              <w:jc w:val="center"/>
              <w:rPr>
                <w:rFonts w:ascii="宋体" w:hAnsi="宋体" w:cs="宋体"/>
                <w:kern w:val="0"/>
                <w:sz w:val="20"/>
                <w:szCs w:val="20"/>
              </w:rPr>
            </w:pPr>
            <w:r>
              <w:rPr>
                <w:rFonts w:hint="eastAsia" w:ascii="宋体" w:hAnsi="宋体" w:cs="宋体"/>
                <w:kern w:val="0"/>
                <w:sz w:val="20"/>
                <w:szCs w:val="20"/>
              </w:rPr>
              <w:t>15</w:t>
            </w:r>
          </w:p>
        </w:tc>
        <w:tc>
          <w:tcPr>
            <w:tcW w:w="5333" w:type="dxa"/>
            <w:vMerge w:val="restart"/>
            <w:tcBorders>
              <w:top w:val="single" w:color="auto" w:sz="4" w:space="0"/>
              <w:left w:val="single" w:color="auto" w:sz="4" w:space="0"/>
              <w:bottom w:val="single" w:color="auto" w:sz="4" w:space="0"/>
              <w:right w:val="single" w:color="auto" w:sz="4" w:space="0"/>
            </w:tcBorders>
            <w:vAlign w:val="center"/>
          </w:tcPr>
          <w:p w14:paraId="2C3EF3BC">
            <w:pPr>
              <w:widowControl/>
              <w:jc w:val="left"/>
              <w:rPr>
                <w:rFonts w:ascii="宋体" w:hAnsi="宋体" w:cs="宋体"/>
                <w:kern w:val="0"/>
                <w:sz w:val="20"/>
                <w:szCs w:val="20"/>
              </w:rPr>
            </w:pPr>
            <w:r>
              <w:rPr>
                <w:rFonts w:hint="eastAsia" w:ascii="宋体" w:hAnsi="宋体" w:cs="宋体"/>
                <w:kern w:val="0"/>
                <w:sz w:val="20"/>
                <w:szCs w:val="20"/>
              </w:rPr>
              <w:t>1、苗木死亡未及时清理，每处扣 0.5 分；</w:t>
            </w:r>
            <w:r>
              <w:rPr>
                <w:rFonts w:hint="eastAsia" w:ascii="宋体" w:hAnsi="宋体" w:cs="宋体"/>
                <w:kern w:val="0"/>
                <w:sz w:val="20"/>
                <w:szCs w:val="20"/>
              </w:rPr>
              <w:br w:type="textWrapping"/>
            </w:r>
            <w:r>
              <w:rPr>
                <w:rFonts w:hint="eastAsia" w:ascii="宋体" w:hAnsi="宋体" w:cs="宋体"/>
                <w:kern w:val="0"/>
                <w:sz w:val="20"/>
                <w:szCs w:val="20"/>
              </w:rPr>
              <w:t>2、苗木残缺未及时补植，每处扣0.5 分；</w:t>
            </w:r>
            <w:r>
              <w:rPr>
                <w:rFonts w:hint="eastAsia" w:ascii="宋体" w:hAnsi="宋体" w:cs="宋体"/>
                <w:kern w:val="0"/>
                <w:sz w:val="20"/>
                <w:szCs w:val="20"/>
              </w:rPr>
              <w:br w:type="textWrapping"/>
            </w:r>
            <w:r>
              <w:rPr>
                <w:rFonts w:hint="eastAsia" w:ascii="宋体" w:hAnsi="宋体" w:cs="宋体"/>
                <w:kern w:val="0"/>
                <w:sz w:val="20"/>
                <w:szCs w:val="20"/>
              </w:rPr>
              <w:t>3、补植的苗木品种、规格与原来的品种、规格相差较大，每处扣1分。</w:t>
            </w:r>
            <w:r>
              <w:rPr>
                <w:rFonts w:hint="eastAsia" w:ascii="宋体" w:hAnsi="宋体" w:cs="宋体"/>
                <w:kern w:val="0"/>
                <w:sz w:val="20"/>
                <w:szCs w:val="20"/>
              </w:rPr>
              <w:br w:type="textWrapping"/>
            </w:r>
            <w:r>
              <w:rPr>
                <w:rFonts w:hint="eastAsia" w:ascii="宋体" w:hAnsi="宋体" w:cs="宋体"/>
                <w:kern w:val="0"/>
                <w:sz w:val="20"/>
                <w:szCs w:val="20"/>
              </w:rPr>
              <w:t>（注：地被、色块、绿篱，1m2/处；乔灌木、球类，2株/处；行道树1株/处；抽样100m2/处。）</w:t>
            </w:r>
          </w:p>
        </w:tc>
        <w:tc>
          <w:tcPr>
            <w:tcW w:w="1459" w:type="dxa"/>
            <w:vMerge w:val="restart"/>
            <w:tcBorders>
              <w:top w:val="single" w:color="auto" w:sz="4" w:space="0"/>
              <w:left w:val="single" w:color="auto" w:sz="4" w:space="0"/>
              <w:bottom w:val="single" w:color="auto" w:sz="4" w:space="0"/>
              <w:right w:val="single" w:color="auto" w:sz="4" w:space="0"/>
            </w:tcBorders>
            <w:vAlign w:val="center"/>
          </w:tcPr>
          <w:p w14:paraId="145FF524">
            <w:pPr>
              <w:widowControl/>
              <w:jc w:val="center"/>
              <w:rPr>
                <w:rFonts w:ascii="宋体" w:hAnsi="宋体" w:cs="宋体"/>
                <w:kern w:val="0"/>
                <w:sz w:val="20"/>
                <w:szCs w:val="20"/>
              </w:rPr>
            </w:pPr>
            <w:r>
              <w:rPr>
                <w:rFonts w:hint="eastAsia" w:ascii="宋体" w:hAnsi="宋体" w:cs="宋体"/>
                <w:kern w:val="0"/>
                <w:sz w:val="20"/>
                <w:szCs w:val="20"/>
              </w:rPr>
              <w:t>每月抽样</w:t>
            </w:r>
          </w:p>
          <w:p w14:paraId="72456BBA">
            <w:pPr>
              <w:widowControl/>
              <w:jc w:val="center"/>
              <w:rPr>
                <w:rFonts w:ascii="宋体" w:hAnsi="宋体" w:cs="宋体"/>
                <w:kern w:val="0"/>
                <w:sz w:val="20"/>
                <w:szCs w:val="20"/>
              </w:rPr>
            </w:pPr>
            <w:r>
              <w:rPr>
                <w:rFonts w:hint="eastAsia" w:ascii="宋体" w:hAnsi="宋体" w:cs="宋体"/>
                <w:kern w:val="0"/>
                <w:sz w:val="20"/>
                <w:szCs w:val="20"/>
              </w:rPr>
              <w:t>目测检查</w:t>
            </w:r>
          </w:p>
        </w:tc>
        <w:tc>
          <w:tcPr>
            <w:tcW w:w="1727" w:type="dxa"/>
            <w:vMerge w:val="restart"/>
            <w:tcBorders>
              <w:top w:val="single" w:color="auto" w:sz="4" w:space="0"/>
              <w:left w:val="single" w:color="auto" w:sz="4" w:space="0"/>
              <w:bottom w:val="single" w:color="auto" w:sz="4" w:space="0"/>
              <w:right w:val="single" w:color="auto" w:sz="4" w:space="0"/>
            </w:tcBorders>
            <w:vAlign w:val="center"/>
          </w:tcPr>
          <w:p w14:paraId="565511E7">
            <w:pPr>
              <w:widowControl/>
              <w:jc w:val="center"/>
              <w:rPr>
                <w:rFonts w:ascii="宋体" w:hAnsi="宋体" w:cs="宋体"/>
                <w:kern w:val="0"/>
                <w:sz w:val="20"/>
                <w:szCs w:val="20"/>
              </w:rPr>
            </w:pPr>
            <w:r>
              <w:rPr>
                <w:rFonts w:hint="eastAsia" w:ascii="宋体" w:hAnsi="宋体" w:cs="宋体"/>
                <w:kern w:val="0"/>
                <w:sz w:val="20"/>
                <w:szCs w:val="20"/>
              </w:rPr>
              <w:t>　</w:t>
            </w:r>
          </w:p>
        </w:tc>
      </w:tr>
      <w:tr w14:paraId="44618705">
        <w:tblPrEx>
          <w:tblCellMar>
            <w:top w:w="0" w:type="dxa"/>
            <w:left w:w="108" w:type="dxa"/>
            <w:bottom w:w="0" w:type="dxa"/>
            <w:right w:w="108" w:type="dxa"/>
          </w:tblCellMar>
        </w:tblPrEx>
        <w:trPr>
          <w:trHeight w:val="765" w:hRule="atLeast"/>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77550F5B">
            <w:pPr>
              <w:widowControl/>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8B68656">
            <w:pPr>
              <w:widowControl/>
              <w:jc w:val="center"/>
              <w:rPr>
                <w:rFonts w:ascii="宋体" w:hAnsi="宋体" w:cs="宋体"/>
                <w:kern w:val="0"/>
                <w:sz w:val="20"/>
                <w:szCs w:val="20"/>
              </w:rPr>
            </w:pPr>
          </w:p>
        </w:tc>
        <w:tc>
          <w:tcPr>
            <w:tcW w:w="575" w:type="dxa"/>
            <w:vMerge w:val="continue"/>
            <w:tcBorders>
              <w:top w:val="single" w:color="auto" w:sz="4" w:space="0"/>
              <w:left w:val="single" w:color="auto" w:sz="4" w:space="0"/>
              <w:bottom w:val="single" w:color="auto" w:sz="4" w:space="0"/>
              <w:right w:val="single" w:color="auto" w:sz="4" w:space="0"/>
            </w:tcBorders>
            <w:vAlign w:val="center"/>
          </w:tcPr>
          <w:p w14:paraId="42315671">
            <w:pPr>
              <w:widowControl/>
              <w:jc w:val="center"/>
              <w:rPr>
                <w:rFonts w:ascii="宋体" w:hAnsi="宋体" w:cs="宋体"/>
                <w:kern w:val="0"/>
                <w:sz w:val="20"/>
                <w:szCs w:val="20"/>
              </w:rPr>
            </w:pPr>
          </w:p>
        </w:tc>
        <w:tc>
          <w:tcPr>
            <w:tcW w:w="5333" w:type="dxa"/>
            <w:vMerge w:val="continue"/>
            <w:tcBorders>
              <w:top w:val="single" w:color="auto" w:sz="4" w:space="0"/>
              <w:left w:val="single" w:color="auto" w:sz="4" w:space="0"/>
              <w:bottom w:val="single" w:color="auto" w:sz="4" w:space="0"/>
              <w:right w:val="single" w:color="auto" w:sz="4" w:space="0"/>
            </w:tcBorders>
            <w:vAlign w:val="center"/>
          </w:tcPr>
          <w:p w14:paraId="4EF1741C">
            <w:pPr>
              <w:widowControl/>
              <w:jc w:val="left"/>
              <w:rPr>
                <w:rFonts w:ascii="宋体" w:hAnsi="宋体" w:cs="宋体"/>
                <w:kern w:val="0"/>
                <w:sz w:val="20"/>
                <w:szCs w:val="20"/>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14:paraId="1D3A8D92">
            <w:pPr>
              <w:widowControl/>
              <w:jc w:val="center"/>
              <w:rPr>
                <w:rFonts w:ascii="宋体" w:hAnsi="宋体" w:cs="宋体"/>
                <w:kern w:val="0"/>
                <w:sz w:val="20"/>
                <w:szCs w:val="20"/>
              </w:rPr>
            </w:pPr>
          </w:p>
        </w:tc>
        <w:tc>
          <w:tcPr>
            <w:tcW w:w="1727" w:type="dxa"/>
            <w:vMerge w:val="continue"/>
            <w:tcBorders>
              <w:top w:val="single" w:color="auto" w:sz="4" w:space="0"/>
              <w:left w:val="single" w:color="auto" w:sz="4" w:space="0"/>
              <w:bottom w:val="single" w:color="auto" w:sz="4" w:space="0"/>
              <w:right w:val="single" w:color="auto" w:sz="4" w:space="0"/>
            </w:tcBorders>
            <w:vAlign w:val="center"/>
          </w:tcPr>
          <w:p w14:paraId="5CC5CA16">
            <w:pPr>
              <w:widowControl/>
              <w:jc w:val="center"/>
              <w:rPr>
                <w:rFonts w:ascii="宋体" w:hAnsi="宋体" w:cs="宋体"/>
                <w:kern w:val="0"/>
                <w:sz w:val="20"/>
                <w:szCs w:val="20"/>
              </w:rPr>
            </w:pPr>
          </w:p>
        </w:tc>
      </w:tr>
      <w:tr w14:paraId="2F0152A7">
        <w:tblPrEx>
          <w:tblCellMar>
            <w:top w:w="0" w:type="dxa"/>
            <w:left w:w="108" w:type="dxa"/>
            <w:bottom w:w="0" w:type="dxa"/>
            <w:right w:w="108" w:type="dxa"/>
          </w:tblCellMar>
        </w:tblPrEx>
        <w:trPr>
          <w:trHeight w:val="312" w:hRule="atLeast"/>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2EDE2F80">
            <w:pPr>
              <w:widowControl/>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040813B6">
            <w:pPr>
              <w:widowControl/>
              <w:jc w:val="center"/>
              <w:rPr>
                <w:rFonts w:ascii="宋体" w:hAnsi="宋体" w:cs="宋体"/>
                <w:kern w:val="0"/>
                <w:sz w:val="20"/>
                <w:szCs w:val="20"/>
              </w:rPr>
            </w:pPr>
          </w:p>
        </w:tc>
        <w:tc>
          <w:tcPr>
            <w:tcW w:w="575" w:type="dxa"/>
            <w:vMerge w:val="continue"/>
            <w:tcBorders>
              <w:top w:val="single" w:color="auto" w:sz="4" w:space="0"/>
              <w:left w:val="single" w:color="auto" w:sz="4" w:space="0"/>
              <w:bottom w:val="single" w:color="auto" w:sz="4" w:space="0"/>
              <w:right w:val="single" w:color="auto" w:sz="4" w:space="0"/>
            </w:tcBorders>
            <w:vAlign w:val="center"/>
          </w:tcPr>
          <w:p w14:paraId="13ECED02">
            <w:pPr>
              <w:widowControl/>
              <w:jc w:val="center"/>
              <w:rPr>
                <w:rFonts w:ascii="宋体" w:hAnsi="宋体" w:cs="宋体"/>
                <w:kern w:val="0"/>
                <w:sz w:val="20"/>
                <w:szCs w:val="20"/>
              </w:rPr>
            </w:pPr>
          </w:p>
        </w:tc>
        <w:tc>
          <w:tcPr>
            <w:tcW w:w="5333" w:type="dxa"/>
            <w:vMerge w:val="continue"/>
            <w:tcBorders>
              <w:top w:val="single" w:color="auto" w:sz="4" w:space="0"/>
              <w:left w:val="single" w:color="auto" w:sz="4" w:space="0"/>
              <w:bottom w:val="single" w:color="auto" w:sz="4" w:space="0"/>
              <w:right w:val="single" w:color="auto" w:sz="4" w:space="0"/>
            </w:tcBorders>
            <w:vAlign w:val="center"/>
          </w:tcPr>
          <w:p w14:paraId="3924805D">
            <w:pPr>
              <w:widowControl/>
              <w:jc w:val="left"/>
              <w:rPr>
                <w:rFonts w:ascii="宋体" w:hAnsi="宋体" w:cs="宋体"/>
                <w:kern w:val="0"/>
                <w:sz w:val="20"/>
                <w:szCs w:val="20"/>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14:paraId="303236E2">
            <w:pPr>
              <w:widowControl/>
              <w:jc w:val="center"/>
              <w:rPr>
                <w:rFonts w:ascii="宋体" w:hAnsi="宋体" w:cs="宋体"/>
                <w:kern w:val="0"/>
                <w:sz w:val="20"/>
                <w:szCs w:val="20"/>
              </w:rPr>
            </w:pPr>
          </w:p>
        </w:tc>
        <w:tc>
          <w:tcPr>
            <w:tcW w:w="1727" w:type="dxa"/>
            <w:vMerge w:val="continue"/>
            <w:tcBorders>
              <w:top w:val="single" w:color="auto" w:sz="4" w:space="0"/>
              <w:left w:val="single" w:color="auto" w:sz="4" w:space="0"/>
              <w:bottom w:val="single" w:color="auto" w:sz="4" w:space="0"/>
              <w:right w:val="single" w:color="auto" w:sz="4" w:space="0"/>
            </w:tcBorders>
            <w:vAlign w:val="center"/>
          </w:tcPr>
          <w:p w14:paraId="03EF5808">
            <w:pPr>
              <w:widowControl/>
              <w:jc w:val="center"/>
              <w:rPr>
                <w:rFonts w:ascii="宋体" w:hAnsi="宋体" w:cs="宋体"/>
                <w:kern w:val="0"/>
                <w:sz w:val="20"/>
                <w:szCs w:val="20"/>
              </w:rPr>
            </w:pPr>
          </w:p>
        </w:tc>
      </w:tr>
      <w:tr w14:paraId="356EE563">
        <w:tblPrEx>
          <w:tblCellMar>
            <w:top w:w="0" w:type="dxa"/>
            <w:left w:w="108" w:type="dxa"/>
            <w:bottom w:w="0" w:type="dxa"/>
            <w:right w:w="108" w:type="dxa"/>
          </w:tblCellMar>
        </w:tblPrEx>
        <w:trPr>
          <w:trHeight w:val="990" w:hRule="atLeast"/>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09B9CCFD">
            <w:pPr>
              <w:widowControl/>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33FDDDF9">
            <w:pPr>
              <w:widowControl/>
              <w:jc w:val="center"/>
              <w:rPr>
                <w:rFonts w:ascii="宋体" w:hAnsi="宋体" w:cs="宋体"/>
                <w:kern w:val="0"/>
                <w:sz w:val="20"/>
                <w:szCs w:val="20"/>
              </w:rPr>
            </w:pPr>
          </w:p>
        </w:tc>
        <w:tc>
          <w:tcPr>
            <w:tcW w:w="575" w:type="dxa"/>
            <w:vMerge w:val="continue"/>
            <w:tcBorders>
              <w:top w:val="single" w:color="auto" w:sz="4" w:space="0"/>
              <w:left w:val="single" w:color="auto" w:sz="4" w:space="0"/>
              <w:bottom w:val="single" w:color="auto" w:sz="4" w:space="0"/>
              <w:right w:val="single" w:color="auto" w:sz="4" w:space="0"/>
            </w:tcBorders>
            <w:vAlign w:val="center"/>
          </w:tcPr>
          <w:p w14:paraId="200412E9">
            <w:pPr>
              <w:widowControl/>
              <w:jc w:val="center"/>
              <w:rPr>
                <w:rFonts w:ascii="宋体" w:hAnsi="宋体" w:cs="宋体"/>
                <w:kern w:val="0"/>
                <w:sz w:val="20"/>
                <w:szCs w:val="20"/>
              </w:rPr>
            </w:pPr>
          </w:p>
        </w:tc>
        <w:tc>
          <w:tcPr>
            <w:tcW w:w="5333" w:type="dxa"/>
            <w:vMerge w:val="continue"/>
            <w:tcBorders>
              <w:top w:val="single" w:color="auto" w:sz="4" w:space="0"/>
              <w:left w:val="single" w:color="auto" w:sz="4" w:space="0"/>
              <w:bottom w:val="single" w:color="auto" w:sz="4" w:space="0"/>
              <w:right w:val="single" w:color="auto" w:sz="4" w:space="0"/>
            </w:tcBorders>
            <w:vAlign w:val="center"/>
          </w:tcPr>
          <w:p w14:paraId="597E0D61">
            <w:pPr>
              <w:widowControl/>
              <w:jc w:val="left"/>
              <w:rPr>
                <w:rFonts w:ascii="宋体" w:hAnsi="宋体" w:cs="宋体"/>
                <w:kern w:val="0"/>
                <w:sz w:val="20"/>
                <w:szCs w:val="20"/>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14:paraId="142A2455">
            <w:pPr>
              <w:widowControl/>
              <w:jc w:val="center"/>
              <w:rPr>
                <w:rFonts w:ascii="宋体" w:hAnsi="宋体" w:cs="宋体"/>
                <w:kern w:val="0"/>
                <w:sz w:val="20"/>
                <w:szCs w:val="20"/>
              </w:rPr>
            </w:pPr>
          </w:p>
        </w:tc>
        <w:tc>
          <w:tcPr>
            <w:tcW w:w="1727" w:type="dxa"/>
            <w:vMerge w:val="continue"/>
            <w:tcBorders>
              <w:top w:val="single" w:color="auto" w:sz="4" w:space="0"/>
              <w:left w:val="single" w:color="auto" w:sz="4" w:space="0"/>
              <w:bottom w:val="single" w:color="auto" w:sz="4" w:space="0"/>
              <w:right w:val="single" w:color="auto" w:sz="4" w:space="0"/>
            </w:tcBorders>
            <w:vAlign w:val="center"/>
          </w:tcPr>
          <w:p w14:paraId="12E4E76B">
            <w:pPr>
              <w:widowControl/>
              <w:jc w:val="center"/>
              <w:rPr>
                <w:rFonts w:ascii="宋体" w:hAnsi="宋体" w:cs="宋体"/>
                <w:kern w:val="0"/>
                <w:sz w:val="20"/>
                <w:szCs w:val="20"/>
              </w:rPr>
            </w:pPr>
          </w:p>
        </w:tc>
      </w:tr>
      <w:tr w14:paraId="7B905CE0">
        <w:tblPrEx>
          <w:tblCellMar>
            <w:top w:w="0" w:type="dxa"/>
            <w:left w:w="108" w:type="dxa"/>
            <w:bottom w:w="0" w:type="dxa"/>
            <w:right w:w="108" w:type="dxa"/>
          </w:tblCellMar>
        </w:tblPrEx>
        <w:trPr>
          <w:trHeight w:val="312" w:hRule="atLeast"/>
        </w:trPr>
        <w:tc>
          <w:tcPr>
            <w:tcW w:w="428" w:type="dxa"/>
            <w:vMerge w:val="continue"/>
            <w:tcBorders>
              <w:top w:val="single" w:color="auto" w:sz="4" w:space="0"/>
              <w:left w:val="single" w:color="auto" w:sz="4" w:space="0"/>
              <w:bottom w:val="single" w:color="auto" w:sz="4" w:space="0"/>
              <w:right w:val="single" w:color="auto" w:sz="4" w:space="0"/>
            </w:tcBorders>
            <w:vAlign w:val="center"/>
          </w:tcPr>
          <w:p w14:paraId="63D81501">
            <w:pPr>
              <w:widowControl/>
              <w:jc w:val="center"/>
              <w:rPr>
                <w:rFonts w:ascii="宋体" w:hAnsi="宋体" w:cs="宋体"/>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282C7AE2">
            <w:pPr>
              <w:widowControl/>
              <w:jc w:val="center"/>
              <w:rPr>
                <w:rFonts w:ascii="宋体" w:hAnsi="宋体" w:cs="宋体"/>
                <w:kern w:val="0"/>
                <w:sz w:val="20"/>
                <w:szCs w:val="20"/>
              </w:rPr>
            </w:pPr>
          </w:p>
        </w:tc>
        <w:tc>
          <w:tcPr>
            <w:tcW w:w="575" w:type="dxa"/>
            <w:vMerge w:val="continue"/>
            <w:tcBorders>
              <w:top w:val="single" w:color="auto" w:sz="4" w:space="0"/>
              <w:left w:val="single" w:color="auto" w:sz="4" w:space="0"/>
              <w:bottom w:val="single" w:color="auto" w:sz="4" w:space="0"/>
              <w:right w:val="single" w:color="auto" w:sz="4" w:space="0"/>
            </w:tcBorders>
            <w:vAlign w:val="center"/>
          </w:tcPr>
          <w:p w14:paraId="0EB49D63">
            <w:pPr>
              <w:widowControl/>
              <w:jc w:val="center"/>
              <w:rPr>
                <w:rFonts w:ascii="宋体" w:hAnsi="宋体" w:cs="宋体"/>
                <w:kern w:val="0"/>
                <w:sz w:val="20"/>
                <w:szCs w:val="20"/>
              </w:rPr>
            </w:pPr>
          </w:p>
        </w:tc>
        <w:tc>
          <w:tcPr>
            <w:tcW w:w="5333" w:type="dxa"/>
            <w:vMerge w:val="continue"/>
            <w:tcBorders>
              <w:top w:val="single" w:color="auto" w:sz="4" w:space="0"/>
              <w:left w:val="single" w:color="auto" w:sz="4" w:space="0"/>
              <w:bottom w:val="single" w:color="auto" w:sz="4" w:space="0"/>
              <w:right w:val="single" w:color="auto" w:sz="4" w:space="0"/>
            </w:tcBorders>
            <w:vAlign w:val="center"/>
          </w:tcPr>
          <w:p w14:paraId="3D651439">
            <w:pPr>
              <w:widowControl/>
              <w:jc w:val="left"/>
              <w:rPr>
                <w:rFonts w:ascii="宋体" w:hAnsi="宋体" w:cs="宋体"/>
                <w:kern w:val="0"/>
                <w:sz w:val="20"/>
                <w:szCs w:val="20"/>
              </w:rPr>
            </w:pPr>
          </w:p>
        </w:tc>
        <w:tc>
          <w:tcPr>
            <w:tcW w:w="1459" w:type="dxa"/>
            <w:vMerge w:val="continue"/>
            <w:tcBorders>
              <w:top w:val="single" w:color="auto" w:sz="4" w:space="0"/>
              <w:left w:val="single" w:color="auto" w:sz="4" w:space="0"/>
              <w:bottom w:val="single" w:color="auto" w:sz="4" w:space="0"/>
              <w:right w:val="single" w:color="auto" w:sz="4" w:space="0"/>
            </w:tcBorders>
            <w:vAlign w:val="center"/>
          </w:tcPr>
          <w:p w14:paraId="18851B4B">
            <w:pPr>
              <w:widowControl/>
              <w:jc w:val="center"/>
              <w:rPr>
                <w:rFonts w:ascii="宋体" w:hAnsi="宋体" w:cs="宋体"/>
                <w:kern w:val="0"/>
                <w:sz w:val="20"/>
                <w:szCs w:val="20"/>
              </w:rPr>
            </w:pPr>
          </w:p>
        </w:tc>
        <w:tc>
          <w:tcPr>
            <w:tcW w:w="1727" w:type="dxa"/>
            <w:vMerge w:val="continue"/>
            <w:tcBorders>
              <w:top w:val="single" w:color="auto" w:sz="4" w:space="0"/>
              <w:left w:val="single" w:color="auto" w:sz="4" w:space="0"/>
              <w:bottom w:val="single" w:color="auto" w:sz="4" w:space="0"/>
              <w:right w:val="single" w:color="auto" w:sz="4" w:space="0"/>
            </w:tcBorders>
            <w:vAlign w:val="center"/>
          </w:tcPr>
          <w:p w14:paraId="508D239E">
            <w:pPr>
              <w:widowControl/>
              <w:jc w:val="center"/>
              <w:rPr>
                <w:rFonts w:ascii="宋体" w:hAnsi="宋体" w:cs="宋体"/>
                <w:kern w:val="0"/>
                <w:sz w:val="20"/>
                <w:szCs w:val="20"/>
              </w:rPr>
            </w:pPr>
          </w:p>
        </w:tc>
      </w:tr>
      <w:tr w14:paraId="71122560">
        <w:tblPrEx>
          <w:tblCellMar>
            <w:top w:w="0" w:type="dxa"/>
            <w:left w:w="108" w:type="dxa"/>
            <w:bottom w:w="0" w:type="dxa"/>
            <w:right w:w="108" w:type="dxa"/>
          </w:tblCellMar>
        </w:tblPrEx>
        <w:trPr>
          <w:trHeight w:val="1520" w:hRule="atLeast"/>
        </w:trPr>
        <w:tc>
          <w:tcPr>
            <w:tcW w:w="428" w:type="dxa"/>
            <w:tcBorders>
              <w:top w:val="single" w:color="auto" w:sz="4" w:space="0"/>
              <w:left w:val="single" w:color="auto" w:sz="4" w:space="0"/>
              <w:bottom w:val="single" w:color="auto" w:sz="4" w:space="0"/>
              <w:right w:val="single" w:color="auto" w:sz="4" w:space="0"/>
            </w:tcBorders>
            <w:vAlign w:val="center"/>
          </w:tcPr>
          <w:p w14:paraId="2D4595A8">
            <w:pPr>
              <w:widowControl/>
              <w:jc w:val="center"/>
              <w:rPr>
                <w:rFonts w:ascii="宋体" w:hAnsi="宋体" w:cs="宋体"/>
                <w:kern w:val="0"/>
                <w:sz w:val="20"/>
                <w:szCs w:val="20"/>
              </w:rPr>
            </w:pPr>
            <w:r>
              <w:rPr>
                <w:rFonts w:hint="eastAsia" w:ascii="宋体" w:hAnsi="宋体" w:cs="宋体"/>
                <w:kern w:val="0"/>
                <w:sz w:val="20"/>
                <w:szCs w:val="20"/>
              </w:rPr>
              <w:t>9</w:t>
            </w:r>
          </w:p>
        </w:tc>
        <w:tc>
          <w:tcPr>
            <w:tcW w:w="709" w:type="dxa"/>
            <w:tcBorders>
              <w:top w:val="single" w:color="auto" w:sz="4" w:space="0"/>
              <w:left w:val="nil"/>
              <w:bottom w:val="single" w:color="auto" w:sz="4" w:space="0"/>
              <w:right w:val="single" w:color="auto" w:sz="4" w:space="0"/>
            </w:tcBorders>
            <w:vAlign w:val="center"/>
          </w:tcPr>
          <w:p w14:paraId="68D14F5B">
            <w:pPr>
              <w:widowControl/>
              <w:jc w:val="center"/>
              <w:rPr>
                <w:rFonts w:ascii="宋体" w:hAnsi="宋体" w:cs="宋体"/>
                <w:kern w:val="0"/>
                <w:sz w:val="20"/>
                <w:szCs w:val="20"/>
              </w:rPr>
            </w:pPr>
            <w:r>
              <w:rPr>
                <w:rFonts w:hint="eastAsia" w:ascii="宋体" w:hAnsi="宋体" w:cs="宋体"/>
                <w:kern w:val="0"/>
                <w:sz w:val="20"/>
                <w:szCs w:val="20"/>
              </w:rPr>
              <w:t>植保</w:t>
            </w:r>
          </w:p>
        </w:tc>
        <w:tc>
          <w:tcPr>
            <w:tcW w:w="575" w:type="dxa"/>
            <w:tcBorders>
              <w:top w:val="single" w:color="auto" w:sz="4" w:space="0"/>
              <w:left w:val="nil"/>
              <w:bottom w:val="single" w:color="auto" w:sz="4" w:space="0"/>
              <w:right w:val="single" w:color="auto" w:sz="4" w:space="0"/>
            </w:tcBorders>
            <w:vAlign w:val="center"/>
          </w:tcPr>
          <w:p w14:paraId="37155E27">
            <w:pPr>
              <w:widowControl/>
              <w:jc w:val="center"/>
              <w:rPr>
                <w:rFonts w:ascii="宋体" w:hAnsi="宋体" w:cs="宋体"/>
                <w:kern w:val="0"/>
                <w:sz w:val="20"/>
                <w:szCs w:val="20"/>
              </w:rPr>
            </w:pPr>
            <w:r>
              <w:rPr>
                <w:rFonts w:hint="eastAsia" w:ascii="宋体" w:hAnsi="宋体" w:cs="宋体"/>
                <w:kern w:val="0"/>
                <w:sz w:val="20"/>
                <w:szCs w:val="20"/>
              </w:rPr>
              <w:t>5</w:t>
            </w:r>
          </w:p>
        </w:tc>
        <w:tc>
          <w:tcPr>
            <w:tcW w:w="5333" w:type="dxa"/>
            <w:tcBorders>
              <w:top w:val="single" w:color="auto" w:sz="4" w:space="0"/>
              <w:left w:val="nil"/>
              <w:bottom w:val="single" w:color="auto" w:sz="4" w:space="0"/>
              <w:right w:val="single" w:color="auto" w:sz="4" w:space="0"/>
            </w:tcBorders>
            <w:vAlign w:val="center"/>
          </w:tcPr>
          <w:p w14:paraId="3DA1F19A">
            <w:pPr>
              <w:widowControl/>
              <w:jc w:val="left"/>
              <w:rPr>
                <w:rFonts w:ascii="宋体" w:hAnsi="宋体" w:cs="宋体"/>
                <w:kern w:val="0"/>
                <w:sz w:val="20"/>
                <w:szCs w:val="20"/>
              </w:rPr>
            </w:pPr>
            <w:r>
              <w:rPr>
                <w:rFonts w:hint="eastAsia" w:ascii="宋体" w:hAnsi="宋体" w:cs="宋体"/>
                <w:kern w:val="0"/>
                <w:sz w:val="20"/>
                <w:szCs w:val="20"/>
              </w:rPr>
              <w:t>1、发现绿地烧毁（0.5m2/处，抽样50m2/处），每处扣1分；</w:t>
            </w:r>
            <w:r>
              <w:rPr>
                <w:rFonts w:hint="eastAsia" w:ascii="宋体" w:hAnsi="宋体" w:cs="宋体"/>
                <w:kern w:val="0"/>
                <w:sz w:val="20"/>
                <w:szCs w:val="20"/>
              </w:rPr>
              <w:br w:type="textWrapping"/>
            </w:r>
            <w:r>
              <w:rPr>
                <w:rFonts w:hint="eastAsia" w:ascii="宋体" w:hAnsi="宋体" w:cs="宋体"/>
                <w:kern w:val="0"/>
                <w:sz w:val="20"/>
                <w:szCs w:val="20"/>
              </w:rPr>
              <w:t>2、发现人为践踏及车辆碾压严重地带未及时制止或未及时报告（每0.5m2/处，抽样50m2/处）每处扣0.5分。</w:t>
            </w:r>
            <w:r>
              <w:rPr>
                <w:rFonts w:hint="eastAsia" w:ascii="宋体" w:hAnsi="宋体" w:cs="宋体"/>
                <w:kern w:val="0"/>
                <w:sz w:val="20"/>
                <w:szCs w:val="20"/>
              </w:rPr>
              <w:br w:type="textWrapping"/>
            </w:r>
            <w:r>
              <w:rPr>
                <w:rFonts w:hint="eastAsia" w:ascii="宋体" w:hAnsi="宋体" w:cs="宋体"/>
                <w:kern w:val="0"/>
                <w:sz w:val="20"/>
                <w:szCs w:val="20"/>
              </w:rPr>
              <w:t>2、严禁使用禁用化学农药，如发现，不得分。</w:t>
            </w:r>
          </w:p>
        </w:tc>
        <w:tc>
          <w:tcPr>
            <w:tcW w:w="1459" w:type="dxa"/>
            <w:tcBorders>
              <w:top w:val="single" w:color="auto" w:sz="4" w:space="0"/>
              <w:left w:val="nil"/>
              <w:bottom w:val="single" w:color="auto" w:sz="4" w:space="0"/>
              <w:right w:val="single" w:color="auto" w:sz="4" w:space="0"/>
            </w:tcBorders>
            <w:vAlign w:val="center"/>
          </w:tcPr>
          <w:p w14:paraId="4A11B865">
            <w:pPr>
              <w:widowControl/>
              <w:jc w:val="center"/>
              <w:rPr>
                <w:rFonts w:ascii="宋体" w:hAnsi="宋体" w:cs="宋体"/>
                <w:kern w:val="0"/>
                <w:sz w:val="20"/>
                <w:szCs w:val="20"/>
              </w:rPr>
            </w:pPr>
            <w:r>
              <w:rPr>
                <w:rFonts w:hint="eastAsia" w:ascii="宋体" w:hAnsi="宋体" w:cs="宋体"/>
                <w:kern w:val="0"/>
                <w:sz w:val="20"/>
                <w:szCs w:val="20"/>
              </w:rPr>
              <w:t>不定期抽样</w:t>
            </w:r>
          </w:p>
          <w:p w14:paraId="68688D8F">
            <w:pPr>
              <w:widowControl/>
              <w:jc w:val="center"/>
              <w:rPr>
                <w:rFonts w:ascii="宋体" w:hAnsi="宋体" w:cs="宋体"/>
                <w:kern w:val="0"/>
                <w:sz w:val="20"/>
                <w:szCs w:val="20"/>
              </w:rPr>
            </w:pPr>
            <w:r>
              <w:rPr>
                <w:rFonts w:hint="eastAsia" w:ascii="宋体" w:hAnsi="宋体" w:cs="宋体"/>
                <w:kern w:val="0"/>
                <w:sz w:val="20"/>
                <w:szCs w:val="20"/>
              </w:rPr>
              <w:t>目测检查</w:t>
            </w:r>
          </w:p>
        </w:tc>
        <w:tc>
          <w:tcPr>
            <w:tcW w:w="1727" w:type="dxa"/>
            <w:tcBorders>
              <w:top w:val="single" w:color="auto" w:sz="4" w:space="0"/>
              <w:left w:val="nil"/>
              <w:bottom w:val="single" w:color="auto" w:sz="4" w:space="0"/>
              <w:right w:val="single" w:color="auto" w:sz="4" w:space="0"/>
            </w:tcBorders>
            <w:vAlign w:val="center"/>
          </w:tcPr>
          <w:p w14:paraId="6164DDEC">
            <w:pPr>
              <w:widowControl/>
              <w:jc w:val="center"/>
              <w:rPr>
                <w:rFonts w:ascii="宋体" w:hAnsi="宋体" w:cs="宋体"/>
                <w:kern w:val="0"/>
                <w:sz w:val="20"/>
                <w:szCs w:val="20"/>
              </w:rPr>
            </w:pPr>
            <w:r>
              <w:rPr>
                <w:rFonts w:hint="eastAsia" w:ascii="宋体" w:hAnsi="宋体" w:cs="宋体"/>
                <w:kern w:val="0"/>
                <w:sz w:val="20"/>
                <w:szCs w:val="20"/>
              </w:rPr>
              <w:t>　</w:t>
            </w:r>
          </w:p>
        </w:tc>
      </w:tr>
      <w:tr w14:paraId="3459AE2D">
        <w:tblPrEx>
          <w:tblCellMar>
            <w:top w:w="0" w:type="dxa"/>
            <w:left w:w="108" w:type="dxa"/>
            <w:bottom w:w="0" w:type="dxa"/>
            <w:right w:w="108" w:type="dxa"/>
          </w:tblCellMar>
        </w:tblPrEx>
        <w:trPr>
          <w:trHeight w:val="1020" w:hRule="atLeast"/>
        </w:trPr>
        <w:tc>
          <w:tcPr>
            <w:tcW w:w="428" w:type="dxa"/>
            <w:tcBorders>
              <w:top w:val="single" w:color="auto" w:sz="4" w:space="0"/>
              <w:left w:val="single" w:color="auto" w:sz="4" w:space="0"/>
              <w:bottom w:val="single" w:color="auto" w:sz="4" w:space="0"/>
              <w:right w:val="single" w:color="auto" w:sz="4" w:space="0"/>
            </w:tcBorders>
            <w:vAlign w:val="center"/>
          </w:tcPr>
          <w:p w14:paraId="324FA41B">
            <w:pPr>
              <w:widowControl/>
              <w:jc w:val="center"/>
              <w:rPr>
                <w:rFonts w:ascii="宋体" w:hAnsi="宋体" w:cs="宋体"/>
                <w:kern w:val="0"/>
                <w:sz w:val="20"/>
                <w:szCs w:val="20"/>
              </w:rPr>
            </w:pPr>
            <w:r>
              <w:rPr>
                <w:rFonts w:hint="eastAsia" w:ascii="宋体" w:hAnsi="宋体" w:cs="宋体"/>
                <w:kern w:val="0"/>
                <w:sz w:val="20"/>
                <w:szCs w:val="20"/>
              </w:rPr>
              <w:t>11</w:t>
            </w:r>
          </w:p>
        </w:tc>
        <w:tc>
          <w:tcPr>
            <w:tcW w:w="709" w:type="dxa"/>
            <w:tcBorders>
              <w:top w:val="single" w:color="auto" w:sz="4" w:space="0"/>
              <w:left w:val="nil"/>
              <w:bottom w:val="single" w:color="auto" w:sz="4" w:space="0"/>
              <w:right w:val="single" w:color="auto" w:sz="4" w:space="0"/>
            </w:tcBorders>
            <w:vAlign w:val="center"/>
          </w:tcPr>
          <w:p w14:paraId="2C10235B">
            <w:pPr>
              <w:widowControl/>
              <w:jc w:val="center"/>
              <w:rPr>
                <w:rFonts w:ascii="宋体" w:hAnsi="宋体" w:cs="宋体"/>
                <w:kern w:val="0"/>
                <w:sz w:val="20"/>
                <w:szCs w:val="20"/>
              </w:rPr>
            </w:pPr>
            <w:r>
              <w:rPr>
                <w:rFonts w:hint="eastAsia" w:ascii="宋体" w:hAnsi="宋体" w:cs="宋体"/>
                <w:kern w:val="0"/>
                <w:sz w:val="20"/>
                <w:szCs w:val="20"/>
              </w:rPr>
              <w:t>日常</w:t>
            </w:r>
          </w:p>
          <w:p w14:paraId="617F1D36">
            <w:pPr>
              <w:widowControl/>
              <w:jc w:val="center"/>
              <w:rPr>
                <w:rFonts w:ascii="宋体" w:hAnsi="宋体" w:cs="宋体"/>
                <w:kern w:val="0"/>
                <w:sz w:val="20"/>
                <w:szCs w:val="20"/>
              </w:rPr>
            </w:pPr>
            <w:r>
              <w:rPr>
                <w:rFonts w:hint="eastAsia" w:ascii="宋体" w:hAnsi="宋体" w:cs="宋体"/>
                <w:kern w:val="0"/>
                <w:sz w:val="20"/>
                <w:szCs w:val="20"/>
              </w:rPr>
              <w:t>巡查</w:t>
            </w:r>
          </w:p>
        </w:tc>
        <w:tc>
          <w:tcPr>
            <w:tcW w:w="575" w:type="dxa"/>
            <w:tcBorders>
              <w:top w:val="single" w:color="auto" w:sz="4" w:space="0"/>
              <w:left w:val="nil"/>
              <w:bottom w:val="single" w:color="auto" w:sz="4" w:space="0"/>
              <w:right w:val="single" w:color="auto" w:sz="4" w:space="0"/>
            </w:tcBorders>
            <w:vAlign w:val="center"/>
          </w:tcPr>
          <w:p w14:paraId="59BB50E9">
            <w:pPr>
              <w:widowControl/>
              <w:jc w:val="center"/>
              <w:rPr>
                <w:rFonts w:ascii="宋体" w:hAnsi="宋体" w:cs="宋体"/>
                <w:kern w:val="0"/>
                <w:sz w:val="20"/>
                <w:szCs w:val="20"/>
              </w:rPr>
            </w:pPr>
            <w:r>
              <w:rPr>
                <w:rFonts w:hint="eastAsia" w:ascii="宋体" w:hAnsi="宋体" w:cs="宋体"/>
                <w:kern w:val="0"/>
                <w:sz w:val="20"/>
                <w:szCs w:val="20"/>
              </w:rPr>
              <w:t>15</w:t>
            </w:r>
          </w:p>
        </w:tc>
        <w:tc>
          <w:tcPr>
            <w:tcW w:w="5333" w:type="dxa"/>
            <w:tcBorders>
              <w:top w:val="single" w:color="auto" w:sz="4" w:space="0"/>
              <w:left w:val="nil"/>
              <w:bottom w:val="single" w:color="auto" w:sz="4" w:space="0"/>
              <w:right w:val="single" w:color="auto" w:sz="4" w:space="0"/>
            </w:tcBorders>
            <w:vAlign w:val="center"/>
          </w:tcPr>
          <w:p w14:paraId="2CA605FF">
            <w:pPr>
              <w:widowControl/>
              <w:jc w:val="left"/>
              <w:rPr>
                <w:rFonts w:ascii="宋体" w:hAnsi="宋体" w:cs="宋体"/>
                <w:kern w:val="0"/>
                <w:sz w:val="20"/>
                <w:szCs w:val="20"/>
              </w:rPr>
            </w:pPr>
            <w:r>
              <w:rPr>
                <w:rFonts w:hint="eastAsia" w:ascii="宋体" w:hAnsi="宋体" w:cs="宋体"/>
                <w:kern w:val="0"/>
                <w:sz w:val="20"/>
                <w:szCs w:val="20"/>
              </w:rPr>
              <w:t>发现绿地内私自堆放杂物，停放车辆、“毁绿种菜”、树上乱悬挂，搭棚、树干钉钉刻画等，每处扣0.5分（抽样100m2/处）。</w:t>
            </w:r>
          </w:p>
        </w:tc>
        <w:tc>
          <w:tcPr>
            <w:tcW w:w="1459" w:type="dxa"/>
            <w:tcBorders>
              <w:top w:val="single" w:color="auto" w:sz="4" w:space="0"/>
              <w:left w:val="nil"/>
              <w:bottom w:val="single" w:color="auto" w:sz="4" w:space="0"/>
              <w:right w:val="single" w:color="auto" w:sz="4" w:space="0"/>
            </w:tcBorders>
            <w:vAlign w:val="center"/>
          </w:tcPr>
          <w:p w14:paraId="68DFECE1">
            <w:pPr>
              <w:widowControl/>
              <w:jc w:val="center"/>
              <w:rPr>
                <w:rFonts w:ascii="宋体" w:hAnsi="宋体" w:cs="宋体"/>
                <w:kern w:val="0"/>
                <w:sz w:val="20"/>
                <w:szCs w:val="20"/>
              </w:rPr>
            </w:pPr>
            <w:r>
              <w:rPr>
                <w:rFonts w:hint="eastAsia" w:ascii="宋体" w:hAnsi="宋体" w:cs="宋体"/>
                <w:kern w:val="0"/>
                <w:sz w:val="20"/>
                <w:szCs w:val="20"/>
              </w:rPr>
              <w:t>不定期抽样</w:t>
            </w:r>
          </w:p>
          <w:p w14:paraId="5AC15E07">
            <w:pPr>
              <w:widowControl/>
              <w:jc w:val="center"/>
              <w:rPr>
                <w:rFonts w:ascii="宋体" w:hAnsi="宋体" w:cs="宋体"/>
                <w:kern w:val="0"/>
                <w:sz w:val="20"/>
                <w:szCs w:val="20"/>
              </w:rPr>
            </w:pPr>
            <w:r>
              <w:rPr>
                <w:rFonts w:hint="eastAsia" w:ascii="宋体" w:hAnsi="宋体" w:cs="宋体"/>
                <w:kern w:val="0"/>
                <w:sz w:val="20"/>
                <w:szCs w:val="20"/>
              </w:rPr>
              <w:t>目测检查</w:t>
            </w:r>
          </w:p>
        </w:tc>
        <w:tc>
          <w:tcPr>
            <w:tcW w:w="1727" w:type="dxa"/>
            <w:tcBorders>
              <w:top w:val="single" w:color="auto" w:sz="4" w:space="0"/>
              <w:left w:val="nil"/>
              <w:bottom w:val="single" w:color="auto" w:sz="4" w:space="0"/>
              <w:right w:val="single" w:color="auto" w:sz="4" w:space="0"/>
            </w:tcBorders>
            <w:vAlign w:val="center"/>
          </w:tcPr>
          <w:p w14:paraId="190FA215">
            <w:pPr>
              <w:widowControl/>
              <w:jc w:val="center"/>
              <w:rPr>
                <w:rFonts w:ascii="宋体" w:hAnsi="宋体" w:cs="宋体"/>
                <w:kern w:val="0"/>
                <w:sz w:val="20"/>
                <w:szCs w:val="20"/>
              </w:rPr>
            </w:pPr>
            <w:r>
              <w:rPr>
                <w:rFonts w:hint="eastAsia" w:ascii="宋体" w:hAnsi="宋体" w:cs="宋体"/>
                <w:kern w:val="0"/>
                <w:sz w:val="20"/>
                <w:szCs w:val="20"/>
              </w:rPr>
              <w:t>　</w:t>
            </w:r>
          </w:p>
        </w:tc>
      </w:tr>
      <w:tr w14:paraId="5D0C09B3">
        <w:tblPrEx>
          <w:tblCellMar>
            <w:top w:w="0" w:type="dxa"/>
            <w:left w:w="108" w:type="dxa"/>
            <w:bottom w:w="0" w:type="dxa"/>
            <w:right w:w="108" w:type="dxa"/>
          </w:tblCellMar>
        </w:tblPrEx>
        <w:trPr>
          <w:trHeight w:val="1020" w:hRule="atLeast"/>
        </w:trPr>
        <w:tc>
          <w:tcPr>
            <w:tcW w:w="428" w:type="dxa"/>
            <w:tcBorders>
              <w:top w:val="single" w:color="auto" w:sz="4" w:space="0"/>
              <w:left w:val="single" w:color="auto" w:sz="4" w:space="0"/>
              <w:bottom w:val="single" w:color="auto" w:sz="4" w:space="0"/>
              <w:right w:val="single" w:color="auto" w:sz="4" w:space="0"/>
            </w:tcBorders>
            <w:vAlign w:val="center"/>
          </w:tcPr>
          <w:p w14:paraId="5DAAB8D6">
            <w:pPr>
              <w:widowControl/>
              <w:jc w:val="center"/>
              <w:rPr>
                <w:rFonts w:ascii="宋体" w:hAnsi="宋体" w:cs="宋体"/>
                <w:kern w:val="0"/>
                <w:sz w:val="20"/>
                <w:szCs w:val="20"/>
              </w:rPr>
            </w:pPr>
            <w:r>
              <w:rPr>
                <w:rFonts w:hint="eastAsia" w:ascii="宋体" w:hAnsi="宋体" w:cs="宋体"/>
                <w:kern w:val="0"/>
                <w:sz w:val="20"/>
                <w:szCs w:val="20"/>
              </w:rPr>
              <w:t>12</w:t>
            </w:r>
          </w:p>
        </w:tc>
        <w:tc>
          <w:tcPr>
            <w:tcW w:w="709" w:type="dxa"/>
            <w:tcBorders>
              <w:top w:val="single" w:color="auto" w:sz="4" w:space="0"/>
              <w:left w:val="nil"/>
              <w:bottom w:val="single" w:color="auto" w:sz="4" w:space="0"/>
              <w:right w:val="single" w:color="auto" w:sz="4" w:space="0"/>
            </w:tcBorders>
            <w:vAlign w:val="center"/>
          </w:tcPr>
          <w:p w14:paraId="04637E3E">
            <w:pPr>
              <w:widowControl/>
              <w:jc w:val="center"/>
              <w:rPr>
                <w:rFonts w:ascii="宋体" w:hAnsi="宋体" w:cs="宋体"/>
                <w:kern w:val="0"/>
                <w:sz w:val="20"/>
                <w:szCs w:val="20"/>
              </w:rPr>
            </w:pPr>
            <w:r>
              <w:rPr>
                <w:rFonts w:hint="eastAsia" w:ascii="宋体" w:hAnsi="宋体" w:cs="宋体"/>
                <w:kern w:val="0"/>
                <w:sz w:val="20"/>
                <w:szCs w:val="20"/>
              </w:rPr>
              <w:t>整体</w:t>
            </w:r>
          </w:p>
          <w:p w14:paraId="550FA8E3">
            <w:pPr>
              <w:widowControl/>
              <w:jc w:val="center"/>
              <w:rPr>
                <w:rFonts w:ascii="宋体" w:hAnsi="宋体" w:cs="宋体"/>
                <w:kern w:val="0"/>
                <w:sz w:val="20"/>
                <w:szCs w:val="20"/>
              </w:rPr>
            </w:pPr>
            <w:r>
              <w:rPr>
                <w:rFonts w:hint="eastAsia" w:ascii="宋体" w:hAnsi="宋体" w:cs="宋体"/>
                <w:kern w:val="0"/>
                <w:sz w:val="20"/>
                <w:szCs w:val="20"/>
              </w:rPr>
              <w:t>面貌</w:t>
            </w:r>
          </w:p>
        </w:tc>
        <w:tc>
          <w:tcPr>
            <w:tcW w:w="575" w:type="dxa"/>
            <w:tcBorders>
              <w:top w:val="single" w:color="auto" w:sz="4" w:space="0"/>
              <w:left w:val="nil"/>
              <w:bottom w:val="single" w:color="auto" w:sz="4" w:space="0"/>
              <w:right w:val="single" w:color="auto" w:sz="4" w:space="0"/>
            </w:tcBorders>
            <w:vAlign w:val="center"/>
          </w:tcPr>
          <w:p w14:paraId="3A233707">
            <w:pPr>
              <w:widowControl/>
              <w:jc w:val="center"/>
              <w:rPr>
                <w:rFonts w:ascii="宋体" w:hAnsi="宋体" w:cs="宋体"/>
                <w:kern w:val="0"/>
                <w:sz w:val="20"/>
                <w:szCs w:val="20"/>
              </w:rPr>
            </w:pPr>
            <w:r>
              <w:rPr>
                <w:rFonts w:hint="eastAsia" w:ascii="宋体" w:hAnsi="宋体" w:cs="宋体"/>
                <w:kern w:val="0"/>
                <w:sz w:val="20"/>
                <w:szCs w:val="20"/>
              </w:rPr>
              <w:t>15</w:t>
            </w:r>
          </w:p>
        </w:tc>
        <w:tc>
          <w:tcPr>
            <w:tcW w:w="5333" w:type="dxa"/>
            <w:tcBorders>
              <w:top w:val="single" w:color="auto" w:sz="4" w:space="0"/>
              <w:left w:val="nil"/>
              <w:bottom w:val="single" w:color="auto" w:sz="4" w:space="0"/>
              <w:right w:val="single" w:color="auto" w:sz="4" w:space="0"/>
            </w:tcBorders>
            <w:vAlign w:val="center"/>
          </w:tcPr>
          <w:p w14:paraId="6C75FE29">
            <w:pPr>
              <w:widowControl/>
              <w:jc w:val="left"/>
              <w:rPr>
                <w:rFonts w:ascii="宋体" w:hAnsi="宋体" w:cs="宋体"/>
                <w:kern w:val="0"/>
                <w:sz w:val="20"/>
                <w:szCs w:val="20"/>
              </w:rPr>
            </w:pPr>
            <w:r>
              <w:rPr>
                <w:rFonts w:hint="eastAsia" w:ascii="宋体" w:hAnsi="宋体" w:cs="宋体"/>
                <w:kern w:val="0"/>
                <w:sz w:val="20"/>
                <w:szCs w:val="20"/>
              </w:rPr>
              <w:t>苗木长势良好，整体景观协调，绿化率高，绿化覆盖率高，具有一定的观赏性，效果达到优良的 15-13 分，较好的12-9分，一般的8-5分，较差的4-0分。</w:t>
            </w:r>
          </w:p>
        </w:tc>
        <w:tc>
          <w:tcPr>
            <w:tcW w:w="1459" w:type="dxa"/>
            <w:tcBorders>
              <w:top w:val="single" w:color="auto" w:sz="4" w:space="0"/>
              <w:left w:val="nil"/>
              <w:bottom w:val="single" w:color="auto" w:sz="4" w:space="0"/>
              <w:right w:val="single" w:color="auto" w:sz="4" w:space="0"/>
            </w:tcBorders>
            <w:vAlign w:val="center"/>
          </w:tcPr>
          <w:p w14:paraId="5254F6AE">
            <w:pPr>
              <w:widowControl/>
              <w:jc w:val="center"/>
              <w:rPr>
                <w:rFonts w:ascii="宋体" w:hAnsi="宋体" w:cs="宋体"/>
                <w:kern w:val="0"/>
                <w:sz w:val="20"/>
                <w:szCs w:val="20"/>
              </w:rPr>
            </w:pPr>
            <w:r>
              <w:rPr>
                <w:rFonts w:hint="eastAsia" w:ascii="宋体" w:hAnsi="宋体" w:cs="宋体"/>
                <w:kern w:val="0"/>
                <w:sz w:val="20"/>
                <w:szCs w:val="20"/>
              </w:rPr>
              <w:t>每月抽样</w:t>
            </w:r>
          </w:p>
          <w:p w14:paraId="7A993C54">
            <w:pPr>
              <w:widowControl/>
              <w:jc w:val="center"/>
              <w:rPr>
                <w:rFonts w:ascii="宋体" w:hAnsi="宋体" w:cs="宋体"/>
                <w:kern w:val="0"/>
                <w:sz w:val="20"/>
                <w:szCs w:val="20"/>
              </w:rPr>
            </w:pPr>
            <w:r>
              <w:rPr>
                <w:rFonts w:hint="eastAsia" w:ascii="宋体" w:hAnsi="宋体" w:cs="宋体"/>
                <w:kern w:val="0"/>
                <w:sz w:val="20"/>
                <w:szCs w:val="20"/>
              </w:rPr>
              <w:t>目测检查</w:t>
            </w:r>
          </w:p>
        </w:tc>
        <w:tc>
          <w:tcPr>
            <w:tcW w:w="1727" w:type="dxa"/>
            <w:tcBorders>
              <w:top w:val="single" w:color="auto" w:sz="4" w:space="0"/>
              <w:left w:val="nil"/>
              <w:bottom w:val="single" w:color="auto" w:sz="4" w:space="0"/>
              <w:right w:val="single" w:color="auto" w:sz="4" w:space="0"/>
            </w:tcBorders>
            <w:vAlign w:val="center"/>
          </w:tcPr>
          <w:p w14:paraId="4344FED3">
            <w:pPr>
              <w:widowControl/>
              <w:jc w:val="center"/>
              <w:rPr>
                <w:rFonts w:ascii="宋体" w:hAnsi="宋体" w:cs="宋体"/>
                <w:kern w:val="0"/>
                <w:sz w:val="20"/>
                <w:szCs w:val="20"/>
              </w:rPr>
            </w:pPr>
            <w:r>
              <w:rPr>
                <w:rFonts w:hint="eastAsia" w:ascii="宋体" w:hAnsi="宋体" w:cs="宋体"/>
                <w:kern w:val="0"/>
                <w:sz w:val="20"/>
                <w:szCs w:val="20"/>
              </w:rPr>
              <w:t>　</w:t>
            </w:r>
          </w:p>
        </w:tc>
      </w:tr>
      <w:tr w14:paraId="06A80970">
        <w:tblPrEx>
          <w:tblCellMar>
            <w:top w:w="0" w:type="dxa"/>
            <w:left w:w="108" w:type="dxa"/>
            <w:bottom w:w="0" w:type="dxa"/>
            <w:right w:w="108" w:type="dxa"/>
          </w:tblCellMar>
        </w:tblPrEx>
        <w:trPr>
          <w:trHeight w:val="949" w:hRule="atLeast"/>
        </w:trPr>
        <w:tc>
          <w:tcPr>
            <w:tcW w:w="428" w:type="dxa"/>
            <w:tcBorders>
              <w:top w:val="single" w:color="auto" w:sz="4" w:space="0"/>
              <w:left w:val="single" w:color="auto" w:sz="4" w:space="0"/>
              <w:bottom w:val="single" w:color="auto" w:sz="4" w:space="0"/>
              <w:right w:val="single" w:color="auto" w:sz="4" w:space="0"/>
            </w:tcBorders>
            <w:vAlign w:val="center"/>
          </w:tcPr>
          <w:p w14:paraId="0A1CD0CD">
            <w:pPr>
              <w:widowControl/>
              <w:jc w:val="center"/>
              <w:rPr>
                <w:rFonts w:ascii="宋体" w:hAnsi="宋体" w:cs="宋体"/>
                <w:kern w:val="0"/>
                <w:sz w:val="20"/>
                <w:szCs w:val="20"/>
              </w:rPr>
            </w:pPr>
          </w:p>
        </w:tc>
        <w:tc>
          <w:tcPr>
            <w:tcW w:w="709" w:type="dxa"/>
            <w:tcBorders>
              <w:top w:val="single" w:color="auto" w:sz="4" w:space="0"/>
              <w:left w:val="single" w:color="auto" w:sz="4" w:space="0"/>
              <w:bottom w:val="single" w:color="auto" w:sz="4" w:space="0"/>
              <w:right w:val="single" w:color="auto" w:sz="4" w:space="0"/>
            </w:tcBorders>
            <w:vAlign w:val="center"/>
          </w:tcPr>
          <w:p w14:paraId="441C88FC">
            <w:pPr>
              <w:widowControl/>
              <w:jc w:val="center"/>
              <w:rPr>
                <w:rFonts w:ascii="宋体" w:hAnsi="宋体" w:cs="宋体"/>
                <w:kern w:val="0"/>
                <w:sz w:val="20"/>
                <w:szCs w:val="20"/>
              </w:rPr>
            </w:pPr>
          </w:p>
        </w:tc>
        <w:tc>
          <w:tcPr>
            <w:tcW w:w="575" w:type="dxa"/>
            <w:tcBorders>
              <w:top w:val="single" w:color="auto" w:sz="4" w:space="0"/>
              <w:left w:val="single" w:color="auto" w:sz="4" w:space="0"/>
              <w:bottom w:val="single" w:color="auto" w:sz="4" w:space="0"/>
              <w:right w:val="single" w:color="auto" w:sz="4" w:space="0"/>
            </w:tcBorders>
            <w:vAlign w:val="center"/>
          </w:tcPr>
          <w:p w14:paraId="6A44DA38">
            <w:pPr>
              <w:widowControl/>
              <w:jc w:val="center"/>
              <w:rPr>
                <w:rFonts w:ascii="宋体" w:hAnsi="宋体" w:cs="宋体"/>
                <w:kern w:val="0"/>
                <w:sz w:val="20"/>
                <w:szCs w:val="20"/>
              </w:rPr>
            </w:pPr>
            <w:r>
              <w:rPr>
                <w:rFonts w:hint="eastAsia" w:ascii="宋体" w:hAnsi="宋体" w:cs="宋体"/>
                <w:kern w:val="0"/>
                <w:sz w:val="20"/>
                <w:szCs w:val="20"/>
              </w:rPr>
              <w:t>100</w:t>
            </w:r>
          </w:p>
        </w:tc>
        <w:tc>
          <w:tcPr>
            <w:tcW w:w="5333" w:type="dxa"/>
            <w:tcBorders>
              <w:top w:val="single" w:color="auto" w:sz="4" w:space="0"/>
              <w:left w:val="single" w:color="auto" w:sz="4" w:space="0"/>
              <w:bottom w:val="single" w:color="auto" w:sz="4" w:space="0"/>
              <w:right w:val="single" w:color="auto" w:sz="4" w:space="0"/>
            </w:tcBorders>
            <w:vAlign w:val="center"/>
          </w:tcPr>
          <w:p w14:paraId="39FAEE50">
            <w:pPr>
              <w:widowControl/>
              <w:jc w:val="left"/>
              <w:rPr>
                <w:rFonts w:ascii="宋体" w:hAnsi="宋体" w:cs="宋体"/>
                <w:kern w:val="0"/>
                <w:sz w:val="20"/>
                <w:szCs w:val="20"/>
              </w:rPr>
            </w:pPr>
          </w:p>
        </w:tc>
        <w:tc>
          <w:tcPr>
            <w:tcW w:w="1459" w:type="dxa"/>
            <w:tcBorders>
              <w:top w:val="single" w:color="auto" w:sz="4" w:space="0"/>
              <w:left w:val="single" w:color="auto" w:sz="4" w:space="0"/>
              <w:bottom w:val="single" w:color="auto" w:sz="4" w:space="0"/>
              <w:right w:val="single" w:color="auto" w:sz="4" w:space="0"/>
            </w:tcBorders>
            <w:vAlign w:val="center"/>
          </w:tcPr>
          <w:p w14:paraId="25E0B128">
            <w:pPr>
              <w:widowControl/>
              <w:jc w:val="center"/>
              <w:rPr>
                <w:rFonts w:ascii="宋体" w:hAnsi="宋体" w:cs="宋体"/>
                <w:kern w:val="0"/>
                <w:sz w:val="20"/>
                <w:szCs w:val="20"/>
              </w:rPr>
            </w:pPr>
          </w:p>
        </w:tc>
        <w:tc>
          <w:tcPr>
            <w:tcW w:w="1727" w:type="dxa"/>
            <w:tcBorders>
              <w:top w:val="single" w:color="auto" w:sz="4" w:space="0"/>
              <w:left w:val="single" w:color="auto" w:sz="4" w:space="0"/>
              <w:bottom w:val="single" w:color="auto" w:sz="4" w:space="0"/>
              <w:right w:val="single" w:color="auto" w:sz="4" w:space="0"/>
            </w:tcBorders>
            <w:vAlign w:val="center"/>
          </w:tcPr>
          <w:p w14:paraId="4C98836C">
            <w:pPr>
              <w:widowControl/>
              <w:jc w:val="center"/>
              <w:rPr>
                <w:rFonts w:ascii="宋体" w:hAnsi="宋体" w:cs="宋体"/>
                <w:kern w:val="0"/>
                <w:sz w:val="20"/>
                <w:szCs w:val="20"/>
              </w:rPr>
            </w:pPr>
          </w:p>
        </w:tc>
      </w:tr>
    </w:tbl>
    <w:p w14:paraId="3769F755"/>
    <w:p w14:paraId="1209D464">
      <w:pPr>
        <w:rPr>
          <w:rFonts w:ascii="仿宋_GB2312" w:eastAsia="仿宋_GB2312"/>
          <w:sz w:val="28"/>
          <w:szCs w:val="28"/>
        </w:rPr>
      </w:pPr>
    </w:p>
    <w:p w14:paraId="6005B3F6">
      <w:pPr>
        <w:rPr>
          <w:rFonts w:ascii="宋体" w:hAnsi="宋体" w:eastAsia="宋体" w:cs="宋体"/>
          <w:sz w:val="30"/>
          <w:szCs w:val="30"/>
        </w:rPr>
      </w:pPr>
    </w:p>
    <w:sectPr>
      <w:footerReference r:id="rId3" w:type="default"/>
      <w:pgSz w:w="11906" w:h="16838"/>
      <w:pgMar w:top="1270" w:right="1576" w:bottom="115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90BF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7954B9">
                          <w:pPr>
                            <w:pStyle w:val="4"/>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lEV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npRFaNwIAAG8EAAAOAAAAAAAAAAEAIAAAAB8BAABkcnMvZTJvRG9jLnht&#10;bFBLBQYAAAAABgAGAFkBAADIBQAAAAA=&#10;">
              <v:fill on="f" focussize="0,0"/>
              <v:stroke on="f" weight="0.5pt"/>
              <v:imagedata o:title=""/>
              <o:lock v:ext="edit" aspectratio="f"/>
              <v:textbox inset="0mm,0mm,0mm,0mm" style="mso-fit-shape-to-text:t;">
                <w:txbxContent>
                  <w:p w14:paraId="147954B9">
                    <w:pPr>
                      <w:pStyle w:val="4"/>
                    </w:pPr>
                    <w:r>
                      <w:fldChar w:fldCharType="begin"/>
                    </w:r>
                    <w:r>
                      <w:instrText xml:space="preserve"> PAGE  \* MERGEFORMAT </w:instrText>
                    </w:r>
                    <w:r>
                      <w:fldChar w:fldCharType="separate"/>
                    </w:r>
                    <w:r>
                      <w:t>26</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A6247E"/>
    <w:multiLevelType w:val="singleLevel"/>
    <w:tmpl w:val="03A6247E"/>
    <w:lvl w:ilvl="0" w:tentative="0">
      <w:start w:val="1"/>
      <w:numFmt w:val="decimal"/>
      <w:lvlText w:val="%1."/>
      <w:lvlJc w:val="left"/>
      <w:pPr>
        <w:tabs>
          <w:tab w:val="left" w:pos="312"/>
        </w:tabs>
      </w:pPr>
    </w:lvl>
  </w:abstractNum>
  <w:abstractNum w:abstractNumId="1">
    <w:nsid w:val="07C56499"/>
    <w:multiLevelType w:val="singleLevel"/>
    <w:tmpl w:val="07C56499"/>
    <w:lvl w:ilvl="0" w:tentative="0">
      <w:start w:val="2"/>
      <w:numFmt w:val="chineseCounting"/>
      <w:suff w:val="nothing"/>
      <w:lvlText w:val="%1、"/>
      <w:lvlJc w:val="left"/>
      <w:rPr>
        <w:rFonts w:hint="eastAsia"/>
        <w:b/>
        <w:bC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CC7AE1"/>
    <w:rsid w:val="00007693"/>
    <w:rsid w:val="0001121D"/>
    <w:rsid w:val="000424ED"/>
    <w:rsid w:val="000A2589"/>
    <w:rsid w:val="000B2730"/>
    <w:rsid w:val="000C500C"/>
    <w:rsid w:val="00160756"/>
    <w:rsid w:val="00190309"/>
    <w:rsid w:val="001B36B4"/>
    <w:rsid w:val="002269A8"/>
    <w:rsid w:val="00334558"/>
    <w:rsid w:val="0037793B"/>
    <w:rsid w:val="003B6045"/>
    <w:rsid w:val="00461E88"/>
    <w:rsid w:val="004811AD"/>
    <w:rsid w:val="004C710F"/>
    <w:rsid w:val="0056188F"/>
    <w:rsid w:val="005807A7"/>
    <w:rsid w:val="00586906"/>
    <w:rsid w:val="0061433C"/>
    <w:rsid w:val="0067762B"/>
    <w:rsid w:val="00682BF9"/>
    <w:rsid w:val="00692559"/>
    <w:rsid w:val="00696605"/>
    <w:rsid w:val="006C1333"/>
    <w:rsid w:val="006D5DD0"/>
    <w:rsid w:val="006E6F5B"/>
    <w:rsid w:val="00736464"/>
    <w:rsid w:val="00772E69"/>
    <w:rsid w:val="0079056D"/>
    <w:rsid w:val="00801263"/>
    <w:rsid w:val="00812641"/>
    <w:rsid w:val="008F2563"/>
    <w:rsid w:val="00900693"/>
    <w:rsid w:val="00935A32"/>
    <w:rsid w:val="0097460F"/>
    <w:rsid w:val="009838CF"/>
    <w:rsid w:val="009B3498"/>
    <w:rsid w:val="009F37AC"/>
    <w:rsid w:val="00A35B19"/>
    <w:rsid w:val="00B2199E"/>
    <w:rsid w:val="00B40DD8"/>
    <w:rsid w:val="00B9024A"/>
    <w:rsid w:val="00BC1C7D"/>
    <w:rsid w:val="00BF3A1D"/>
    <w:rsid w:val="00BF5BFF"/>
    <w:rsid w:val="00C132F7"/>
    <w:rsid w:val="00C9062D"/>
    <w:rsid w:val="00CE681A"/>
    <w:rsid w:val="00D25598"/>
    <w:rsid w:val="00D47919"/>
    <w:rsid w:val="00D637C2"/>
    <w:rsid w:val="00DA7CA8"/>
    <w:rsid w:val="00DF7703"/>
    <w:rsid w:val="00E01760"/>
    <w:rsid w:val="00E224AB"/>
    <w:rsid w:val="00E60B84"/>
    <w:rsid w:val="00F47ACB"/>
    <w:rsid w:val="00FD0027"/>
    <w:rsid w:val="00FF4FD8"/>
    <w:rsid w:val="01B644D5"/>
    <w:rsid w:val="0337736F"/>
    <w:rsid w:val="03537ABF"/>
    <w:rsid w:val="04B62664"/>
    <w:rsid w:val="055D1C2B"/>
    <w:rsid w:val="095B02AF"/>
    <w:rsid w:val="0A2F2E21"/>
    <w:rsid w:val="0A5807C0"/>
    <w:rsid w:val="0CCA0102"/>
    <w:rsid w:val="10186C4F"/>
    <w:rsid w:val="104024BB"/>
    <w:rsid w:val="127F67AC"/>
    <w:rsid w:val="15B624DF"/>
    <w:rsid w:val="165F53AB"/>
    <w:rsid w:val="17E37F22"/>
    <w:rsid w:val="18376EC9"/>
    <w:rsid w:val="1A393593"/>
    <w:rsid w:val="1A995764"/>
    <w:rsid w:val="1BC75EFD"/>
    <w:rsid w:val="1BCC7AE1"/>
    <w:rsid w:val="1BFB1448"/>
    <w:rsid w:val="1C40575F"/>
    <w:rsid w:val="1D6E2503"/>
    <w:rsid w:val="1ECA214D"/>
    <w:rsid w:val="20FD610A"/>
    <w:rsid w:val="2487000D"/>
    <w:rsid w:val="25880008"/>
    <w:rsid w:val="28601C2F"/>
    <w:rsid w:val="29555CCF"/>
    <w:rsid w:val="2C5524AE"/>
    <w:rsid w:val="2D2B2FA9"/>
    <w:rsid w:val="30E32710"/>
    <w:rsid w:val="38E9172E"/>
    <w:rsid w:val="38EA21D0"/>
    <w:rsid w:val="39644B48"/>
    <w:rsid w:val="39B2152A"/>
    <w:rsid w:val="39DA3FF3"/>
    <w:rsid w:val="3A655FB2"/>
    <w:rsid w:val="3B443A1E"/>
    <w:rsid w:val="3BB93DF3"/>
    <w:rsid w:val="3C0A2099"/>
    <w:rsid w:val="3E065C55"/>
    <w:rsid w:val="3F302319"/>
    <w:rsid w:val="3FE34E66"/>
    <w:rsid w:val="404834B5"/>
    <w:rsid w:val="426076F1"/>
    <w:rsid w:val="430770A0"/>
    <w:rsid w:val="44006D4C"/>
    <w:rsid w:val="47852E03"/>
    <w:rsid w:val="47C87B80"/>
    <w:rsid w:val="48A26623"/>
    <w:rsid w:val="4C7A6630"/>
    <w:rsid w:val="4FB229CD"/>
    <w:rsid w:val="548412CC"/>
    <w:rsid w:val="553305D6"/>
    <w:rsid w:val="55654D48"/>
    <w:rsid w:val="567809C3"/>
    <w:rsid w:val="58C12AF6"/>
    <w:rsid w:val="5B867A73"/>
    <w:rsid w:val="5D564AEF"/>
    <w:rsid w:val="5D710D9F"/>
    <w:rsid w:val="5E645B8F"/>
    <w:rsid w:val="5EF835E3"/>
    <w:rsid w:val="5FC53FCD"/>
    <w:rsid w:val="636479F5"/>
    <w:rsid w:val="6570115F"/>
    <w:rsid w:val="67032FD8"/>
    <w:rsid w:val="67FA4F92"/>
    <w:rsid w:val="69B07143"/>
    <w:rsid w:val="69B56F7A"/>
    <w:rsid w:val="6A352201"/>
    <w:rsid w:val="6BF552B9"/>
    <w:rsid w:val="6C5B07F9"/>
    <w:rsid w:val="6C983ED6"/>
    <w:rsid w:val="6CCA7D73"/>
    <w:rsid w:val="6DB1683D"/>
    <w:rsid w:val="6E566E9A"/>
    <w:rsid w:val="6EAE1A49"/>
    <w:rsid w:val="6F2A1E3D"/>
    <w:rsid w:val="70181AB6"/>
    <w:rsid w:val="729C3ECF"/>
    <w:rsid w:val="78273E1F"/>
    <w:rsid w:val="7B4A1793"/>
    <w:rsid w:val="7D23702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after="330" w:line="578" w:lineRule="auto"/>
      <w:outlineLvl w:val="0"/>
    </w:pPr>
    <w:rPr>
      <w:b/>
      <w:bCs/>
      <w:kern w:val="44"/>
      <w:sz w:val="44"/>
      <w:szCs w:val="44"/>
    </w:rPr>
  </w:style>
  <w:style w:type="paragraph" w:styleId="3">
    <w:name w:val="heading 4"/>
    <w:basedOn w:val="1"/>
    <w:next w:val="1"/>
    <w:qFormat/>
    <w:uiPriority w:val="0"/>
    <w:pPr>
      <w:keepNext/>
      <w:keepLines/>
      <w:spacing w:line="372" w:lineRule="auto"/>
      <w:outlineLvl w:val="3"/>
    </w:pPr>
    <w:rPr>
      <w:rFonts w:ascii="Cambria" w:hAnsi="Cambria"/>
      <w:b/>
      <w:bCs/>
      <w:sz w:val="28"/>
      <w:szCs w:val="2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
    <w:name w:val="Table Text"/>
    <w:basedOn w:val="1"/>
    <w:semiHidden/>
    <w:qFormat/>
    <w:uiPriority w:val="0"/>
    <w:rPr>
      <w:rFonts w:ascii="微软雅黑" w:hAnsi="微软雅黑" w:eastAsia="微软雅黑" w:cs="微软雅黑"/>
      <w:sz w:val="24"/>
      <w:lang w:eastAsia="en-US"/>
    </w:rPr>
  </w:style>
  <w:style w:type="table" w:customStyle="1" w:styleId="10">
    <w:name w:val="Table Normal"/>
    <w:semiHidden/>
    <w:unhideWhenUsed/>
    <w:qFormat/>
    <w:uiPriority w:val="0"/>
    <w:tblPr>
      <w:tblCellMar>
        <w:top w:w="0" w:type="dxa"/>
        <w:left w:w="0" w:type="dxa"/>
        <w:bottom w:w="0" w:type="dxa"/>
        <w:right w:w="0" w:type="dxa"/>
      </w:tblCellMar>
    </w:tblPr>
  </w:style>
  <w:style w:type="character" w:customStyle="1" w:styleId="11">
    <w:name w:val="标题 1 Char"/>
    <w:basedOn w:val="8"/>
    <w:link w:val="2"/>
    <w:qFormat/>
    <w:uiPriority w:val="0"/>
    <w:rPr>
      <w:b/>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7DA2D2-FA87-4DC0-A595-58B9E2EACE5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26</Pages>
  <Words>1772</Words>
  <Characters>1965</Characters>
  <Lines>79</Lines>
  <Paragraphs>22</Paragraphs>
  <TotalTime>128</TotalTime>
  <ScaleCrop>false</ScaleCrop>
  <LinksUpToDate>false</LinksUpToDate>
  <CharactersWithSpaces>2027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2025-10-23T01:47:00Z</dcterms:created>
  <dc:creator>天康药房（吴）</dc:creator>
  <cp:lastModifiedBy>Administrator</cp:lastModifiedBy>
  <cp:lastPrinted>2025-09-11T08:05:00Z</cp:lastPrinted>
  <dcterms:modified xsi:type="dcterms:W3CDTF">2025-10-27T03:05:07Z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81AD1863A710455C8BBAB94CDB109D68_13</vt:lpwstr>
  </property>
  <property fmtid="{D5CDD505-2E9C-101B-9397-08002B2CF9AE}" pid="4" name="KSOTemplateDocerSaveRecord">
    <vt:lpwstr>eyJoZGlkIjoiYmMyNTJhM2Q5MDE1NTcwNWJkMDU4MWIwNDQ1MTMyNzUifQ==</vt:lpwstr>
  </property>
</Properties>
</file>