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2B1D">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p>
    <w:p w14:paraId="4B0385E1">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桐城医用同位素产业园基础设施项目安全条件评价服务采购项目 </w:t>
      </w:r>
    </w:p>
    <w:p w14:paraId="60EFACD5">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7FBAFDDD">
      <w:pPr>
        <w:shd w:val="clear"/>
        <w:jc w:val="center"/>
        <w:rPr>
          <w:rFonts w:hint="default" w:ascii="仿宋_GB2312" w:hAnsi="仿宋_GB2312" w:eastAsia="仿宋_GB2312" w:cs="仿宋_GB2312"/>
          <w:b/>
          <w:bCs/>
          <w:color w:val="auto"/>
          <w:sz w:val="48"/>
          <w:szCs w:val="48"/>
          <w:highlight w:val="none"/>
          <w:lang w:val="en-US" w:eastAsia="zh-CN"/>
        </w:rPr>
      </w:pPr>
    </w:p>
    <w:p w14:paraId="4E85FE22">
      <w:pPr>
        <w:shd w:val="clear"/>
        <w:jc w:val="center"/>
        <w:rPr>
          <w:rFonts w:hint="default" w:ascii="仿宋_GB2312" w:hAnsi="仿宋_GB2312" w:eastAsia="仿宋_GB2312" w:cs="仿宋_GB2312"/>
          <w:b/>
          <w:bCs/>
          <w:color w:val="auto"/>
          <w:sz w:val="48"/>
          <w:szCs w:val="56"/>
          <w:highlight w:val="none"/>
          <w:lang w:val="en-US" w:eastAsia="zh-CN"/>
        </w:rPr>
      </w:pPr>
    </w:p>
    <w:p w14:paraId="32CE082E">
      <w:pPr>
        <w:pStyle w:val="17"/>
        <w:shd w:val="clear"/>
        <w:rPr>
          <w:rFonts w:hint="eastAsia"/>
          <w:color w:val="auto"/>
          <w:highlight w:val="none"/>
          <w:lang w:val="en-US" w:eastAsia="zh-CN"/>
        </w:rPr>
      </w:pPr>
    </w:p>
    <w:p w14:paraId="08358694">
      <w:pPr>
        <w:shd w:val="clear"/>
        <w:jc w:val="center"/>
        <w:rPr>
          <w:rFonts w:hint="eastAsia" w:ascii="仿宋_GB2312" w:hAnsi="仿宋_GB2312" w:eastAsia="仿宋_GB2312" w:cs="仿宋_GB2312"/>
          <w:b/>
          <w:bCs/>
          <w:color w:val="auto"/>
          <w:sz w:val="48"/>
          <w:szCs w:val="48"/>
          <w:highlight w:val="none"/>
          <w:lang w:val="en-US" w:eastAsia="zh-CN"/>
        </w:rPr>
      </w:pPr>
    </w:p>
    <w:p w14:paraId="1B194061">
      <w:pPr>
        <w:shd w:val="clear"/>
        <w:jc w:val="center"/>
        <w:rPr>
          <w:rFonts w:hint="eastAsia" w:ascii="仿宋_GB2312" w:hAnsi="仿宋_GB2312" w:eastAsia="仿宋_GB2312" w:cs="仿宋_GB2312"/>
          <w:b/>
          <w:bCs/>
          <w:color w:val="auto"/>
          <w:sz w:val="48"/>
          <w:szCs w:val="48"/>
          <w:highlight w:val="none"/>
          <w:lang w:val="en-US" w:eastAsia="zh-CN"/>
        </w:rPr>
      </w:pPr>
    </w:p>
    <w:p w14:paraId="1CDC23C7">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1B7DE445">
      <w:pPr>
        <w:pStyle w:val="6"/>
        <w:shd w:val="clear"/>
        <w:rPr>
          <w:rFonts w:hint="eastAsia" w:ascii="仿宋_GB2312" w:hAnsi="仿宋_GB2312" w:eastAsia="仿宋_GB2312" w:cs="仿宋_GB2312"/>
          <w:color w:val="auto"/>
          <w:highlight w:val="none"/>
          <w:lang w:val="en-US" w:eastAsia="zh-CN"/>
        </w:rPr>
      </w:pPr>
    </w:p>
    <w:p w14:paraId="62FEF998">
      <w:pPr>
        <w:pStyle w:val="6"/>
        <w:shd w:val="clear"/>
        <w:rPr>
          <w:rFonts w:hint="eastAsia" w:ascii="仿宋_GB2312" w:hAnsi="仿宋_GB2312" w:eastAsia="仿宋_GB2312" w:cs="仿宋_GB2312"/>
          <w:b w:val="0"/>
          <w:bCs w:val="0"/>
          <w:color w:val="auto"/>
          <w:sz w:val="36"/>
          <w:szCs w:val="44"/>
          <w:highlight w:val="none"/>
          <w:lang w:val="en-US" w:eastAsia="zh-CN"/>
        </w:rPr>
      </w:pPr>
    </w:p>
    <w:p w14:paraId="51211961">
      <w:pPr>
        <w:shd w:val="clear"/>
        <w:rPr>
          <w:rFonts w:hint="eastAsia" w:ascii="仿宋_GB2312" w:hAnsi="仿宋_GB2312" w:eastAsia="仿宋_GB2312" w:cs="仿宋_GB2312"/>
          <w:b w:val="0"/>
          <w:bCs w:val="0"/>
          <w:color w:val="auto"/>
          <w:sz w:val="36"/>
          <w:szCs w:val="44"/>
          <w:highlight w:val="none"/>
          <w:lang w:val="en-US" w:eastAsia="zh-CN"/>
        </w:rPr>
      </w:pPr>
    </w:p>
    <w:p w14:paraId="667D20C6">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6EC0098F">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44015673">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78BB4294">
      <w:pPr>
        <w:pStyle w:val="6"/>
        <w:shd w:val="clear"/>
        <w:rPr>
          <w:rFonts w:hint="eastAsia" w:ascii="仿宋_GB2312" w:hAnsi="仿宋_GB2312" w:eastAsia="仿宋_GB2312" w:cs="仿宋_GB2312"/>
          <w:color w:val="auto"/>
          <w:highlight w:val="none"/>
          <w:lang w:val="en-US" w:eastAsia="zh-CN"/>
        </w:rPr>
      </w:pPr>
    </w:p>
    <w:p w14:paraId="0E1EB98D">
      <w:pPr>
        <w:pStyle w:val="6"/>
        <w:shd w:val="clear"/>
        <w:rPr>
          <w:rFonts w:hint="eastAsia" w:ascii="仿宋_GB2312" w:hAnsi="仿宋_GB2312" w:eastAsia="仿宋_GB2312" w:cs="仿宋_GB2312"/>
          <w:color w:val="auto"/>
          <w:highlight w:val="none"/>
          <w:lang w:val="en-US" w:eastAsia="zh-CN"/>
        </w:rPr>
      </w:pPr>
    </w:p>
    <w:p w14:paraId="1BB373C4">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7541760F">
      <w:pPr>
        <w:pStyle w:val="6"/>
        <w:shd w:val="clear"/>
        <w:rPr>
          <w:rFonts w:hint="eastAsia" w:ascii="仿宋_GB2312" w:hAnsi="仿宋_GB2312" w:eastAsia="仿宋_GB2312" w:cs="仿宋_GB2312"/>
          <w:color w:val="auto"/>
          <w:highlight w:val="none"/>
          <w:lang w:val="en-US" w:eastAsia="zh-CN"/>
        </w:rPr>
      </w:pPr>
    </w:p>
    <w:p w14:paraId="79EFD2B8">
      <w:pPr>
        <w:pStyle w:val="6"/>
        <w:shd w:val="clear"/>
        <w:rPr>
          <w:rFonts w:hint="eastAsia" w:ascii="仿宋_GB2312" w:hAnsi="仿宋_GB2312" w:eastAsia="仿宋_GB2312" w:cs="仿宋_GB2312"/>
          <w:color w:val="auto"/>
          <w:highlight w:val="none"/>
          <w:lang w:val="en-US" w:eastAsia="zh-CN"/>
        </w:rPr>
      </w:pPr>
    </w:p>
    <w:p w14:paraId="0409F3F3">
      <w:pPr>
        <w:pStyle w:val="6"/>
        <w:shd w:val="clear"/>
        <w:rPr>
          <w:rFonts w:hint="eastAsia" w:ascii="仿宋_GB2312" w:hAnsi="仿宋_GB2312" w:eastAsia="仿宋_GB2312" w:cs="仿宋_GB2312"/>
          <w:color w:val="auto"/>
          <w:highlight w:val="none"/>
          <w:lang w:val="en-US" w:eastAsia="zh-CN"/>
        </w:rPr>
      </w:pPr>
    </w:p>
    <w:p w14:paraId="2F9D8021">
      <w:pPr>
        <w:pStyle w:val="6"/>
        <w:shd w:val="clear"/>
        <w:jc w:val="cente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3E2245FF">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桐城医用同位素产业园基础设施项目安全条件评价服务采购项目比选公告</w:t>
      </w:r>
    </w:p>
    <w:p w14:paraId="27DE0A0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桐城医用同位素产业园基础设施项目安全条件评价服务采购项目</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721A5A4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2951A40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桐城医用同位素产业园基础设施项目安全条件评价服务采购项目</w:t>
      </w:r>
    </w:p>
    <w:p w14:paraId="6781BF5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41B64A1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17CC24C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shd w:val="clear" w:color="FFFFFF" w:fill="D9D9D9"/>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同位素药物生产车间、研发中心、仓储设施、公用工程及配套基础设施，从事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项目生产工艺涉及化学合成、提纯分离等环节，存在化学毒物泄漏、火灾爆炸、机械伤害、高处坠落等安全风险</w:t>
      </w:r>
      <w:r>
        <w:rPr>
          <w:rFonts w:hint="eastAsia" w:ascii="仿宋_GB2312" w:hAnsi="仿宋_GB2312" w:eastAsia="仿宋_GB2312" w:cs="仿宋_GB2312"/>
          <w:color w:val="auto"/>
          <w:sz w:val="28"/>
          <w:szCs w:val="28"/>
          <w:highlight w:val="none"/>
          <w:lang w:val="en-US" w:eastAsia="zh-CN"/>
        </w:rPr>
        <w:t>评估</w:t>
      </w:r>
      <w:r>
        <w:rPr>
          <w:rFonts w:hint="eastAsia" w:ascii="仿宋_GB2312" w:hAnsi="仿宋_GB2312" w:eastAsia="仿宋_GB2312" w:cs="仿宋_GB2312"/>
          <w:color w:val="auto"/>
          <w:sz w:val="28"/>
          <w:szCs w:val="28"/>
          <w:highlight w:val="none"/>
        </w:rPr>
        <w:t>。</w:t>
      </w:r>
    </w:p>
    <w:p w14:paraId="5A0633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4AEC1BD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6.最高限价：17万元</w:t>
      </w:r>
    </w:p>
    <w:p w14:paraId="340412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w:t>
      </w:r>
      <w:bookmarkStart w:id="1" w:name="_GoBack"/>
      <w:bookmarkEnd w:id="1"/>
      <w:r>
        <w:rPr>
          <w:rFonts w:hint="eastAsia" w:ascii="仿宋_GB2312" w:hAnsi="仿宋_GB2312" w:eastAsia="仿宋_GB2312" w:cs="仿宋_GB2312"/>
          <w:color w:val="auto"/>
          <w:sz w:val="28"/>
          <w:szCs w:val="28"/>
          <w:highlight w:val="none"/>
          <w:lang w:val="en-US" w:eastAsia="zh-CN"/>
        </w:rPr>
        <w:t>安全条件评价（含安全风险辨识与评估），编制符合国家及地方相关标准规范的安全条件评价报告，协助采购人通过相关部门的评审验收，并提供后续安全技术咨询等售后服务。</w:t>
      </w:r>
    </w:p>
    <w:p w14:paraId="502E9D8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日历天内完成安全条件评价报告的编制并提交评审，评审通过后</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日历天内完成备案相关工作。</w:t>
      </w:r>
    </w:p>
    <w:p w14:paraId="0BDA00C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4CD40CA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0763D4F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3368FBC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3.响应人特定资格要求：具有安全条件评价机构资质证书且业务范围涵盖化学品及医药制造业；</w:t>
      </w:r>
    </w:p>
    <w:p w14:paraId="028D71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4.项目负责人资格要求：拟派项目负责人（编制主持人）具有安全条件评价资格证书；</w:t>
      </w:r>
    </w:p>
    <w:p w14:paraId="2E0F63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479C912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216A88C9">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02947A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5F2A52F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2B30748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2025年11月3日17时00分前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42CA882D">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日（北京时间）</w:t>
      </w:r>
    </w:p>
    <w:p w14:paraId="00A4233F">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6C7573D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689C9B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2025年11月4日09时00分</w:t>
      </w:r>
      <w:r>
        <w:rPr>
          <w:rFonts w:hint="default" w:ascii="仿宋_GB2312" w:hAnsi="仿宋_GB2312" w:eastAsia="仿宋_GB2312" w:cs="仿宋_GB2312"/>
          <w:color w:val="auto"/>
          <w:kern w:val="2"/>
          <w:sz w:val="28"/>
          <w:szCs w:val="28"/>
          <w:highlight w:val="none"/>
          <w:lang w:val="en-US" w:eastAsia="zh-CN" w:bidi="ar-SA"/>
        </w:rPr>
        <w:t>（北京时间）</w:t>
      </w:r>
    </w:p>
    <w:p w14:paraId="16310587">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r>
        <w:rPr>
          <w:rFonts w:hint="default" w:ascii="仿宋_GB2312" w:hAnsi="仿宋_GB2312" w:eastAsia="仿宋_GB2312" w:cs="仿宋_GB2312"/>
          <w:color w:val="auto"/>
          <w:kern w:val="2"/>
          <w:sz w:val="28"/>
          <w:szCs w:val="28"/>
          <w:highlight w:val="none"/>
          <w:lang w:val="en-US" w:eastAsia="zh-CN" w:bidi="ar-SA"/>
        </w:rPr>
        <w:t>楼会议室</w:t>
      </w:r>
    </w:p>
    <w:p w14:paraId="035A6C72">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59D04C31">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1C4E705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432402D">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4B10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2B175CE6">
            <w:pPr>
              <w:pStyle w:val="6"/>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61BA46C0">
            <w:pPr>
              <w:pStyle w:val="6"/>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317441BB">
            <w:pPr>
              <w:pStyle w:val="6"/>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58084A66">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5449EE32">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3335F960">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722D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69A1CC0B">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3A9E1C3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18648EB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32D78BC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549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173FD5C5">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30E9334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5835233C">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28A00320">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4693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433459A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0C8CC0F7">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7D5C59D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55995D2F">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7AAF99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7BF289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556E29AD">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41E65699">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34D300A4">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326D4D6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51DFC9C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50B6F419">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64009C53">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321F5CE7">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2C0C8DB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1E7955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0885F8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299D797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2.1本项目最高限价：17万元，超过最高限价的报价无效。</w:t>
      </w:r>
    </w:p>
    <w:p w14:paraId="03B044C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238A9F8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617138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1F0A079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0FD6B4D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2A6B46D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17641A9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7DA595C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2052179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69A9C66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8774C8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1A4B57C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772E166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470D559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7C8096C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6A2FDAA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3F4CA4E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6E4EA52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574375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6B517B5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3B02874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4DC697D5">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3、付款方式：乙方提交的《安全条件评价报告》通过安庆相关主管部门评审备案并取得正式批复文件后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p>
    <w:p w14:paraId="36C55269">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746" w:firstLineChars="228"/>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127938BB">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服务要求</w:t>
      </w:r>
    </w:p>
    <w:p w14:paraId="4919862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一、核心服务内容</w:t>
      </w:r>
    </w:p>
    <w:p w14:paraId="39CC28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1.全面辨识项目建设及运营过程中的安全风险因素，包括化学危害、物理危害、机械危害等，明确风险等级及影响范围。</w:t>
      </w:r>
    </w:p>
    <w:p w14:paraId="1DCC69B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2.按照国家相关标准规范开展现场调研、资料收集、风险评估等工作，采用科学合理的评价方法对项目安全状况进行系统分析。</w:t>
      </w:r>
    </w:p>
    <w:p w14:paraId="3697D2A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3.编制完整的安全条件评价报告，提出针对性、可操作性的安全对策措施及改进建议。</w:t>
      </w:r>
    </w:p>
    <w:p w14:paraId="1A55C52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4.协助采购人组织评价报告评审会，根据评审意见及时修改完善报告，确保通过相关部门验收。</w:t>
      </w:r>
    </w:p>
    <w:p w14:paraId="089B18E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5.提供售后技术咨询服务，解答采购人在安全生产管理过程中的疑问，配合采购人应对监管检查。</w:t>
      </w:r>
    </w:p>
    <w:p w14:paraId="59A9FC1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三、成果质量要求</w:t>
      </w:r>
    </w:p>
    <w:p w14:paraId="06E9AF2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1.安全条件评价报告内容完整、数据真实准确、分析科学合理，符合国家及地方相关标准规范要求。</w:t>
      </w:r>
    </w:p>
    <w:p w14:paraId="66D705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2.报告需通过采购人及相关部门的评审验收，确保无重大修改意见。</w:t>
      </w:r>
    </w:p>
    <w:p w14:paraId="17FCA82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3.所有评价过程资料、原始记录完整留存，可追溯核查。</w:t>
      </w:r>
    </w:p>
    <w:p w14:paraId="2A045C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7D989487">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167F4D3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2323808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4FD1FC3B">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23C751A9">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color w:val="auto"/>
          <w:spacing w:val="8"/>
          <w:kern w:val="2"/>
          <w:sz w:val="31"/>
          <w:szCs w:val="31"/>
          <w:shd w:val="clear" w:fill="FFFFFF"/>
          <w:lang w:val="en-US" w:eastAsia="zh-CN" w:bidi="ar-SA"/>
        </w:rPr>
      </w:pPr>
    </w:p>
    <w:p w14:paraId="278E68C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一、</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7C42DFB9">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3192E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178C6144">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19F2BB5D">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5E2A815D">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75BF9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2D7682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35C2B6B4">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7B7B53FE">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71C0C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438CAAF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1FBE9787">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237A4559">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5EB1C18B">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20B9C8E7">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11F5E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6890F309">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2A8F6F4C">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46A692E8">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0D331793">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670806C6">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3412E3E3">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1FE70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7A59FB06">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458B65C8">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74EA09AF">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2F3FDDA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26421D07">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4903CB17">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5C24FF97">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5ED511D9">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06A37A86">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187DA0B6">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6B6CDC92">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10A0BFD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二、</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5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5"/>
        <w:gridCol w:w="1417"/>
        <w:gridCol w:w="6688"/>
        <w:gridCol w:w="1261"/>
      </w:tblGrid>
      <w:tr w14:paraId="32DF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84" w:type="pct"/>
            <w:shd w:val="clear" w:color="auto" w:fill="auto"/>
            <w:vAlign w:val="center"/>
          </w:tcPr>
          <w:p w14:paraId="5EEB9704">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53" w:type="pct"/>
            <w:shd w:val="clear" w:color="auto" w:fill="auto"/>
            <w:vAlign w:val="center"/>
          </w:tcPr>
          <w:p w14:paraId="5C8DB903">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081" w:type="pct"/>
            <w:shd w:val="clear" w:color="auto" w:fill="auto"/>
            <w:vAlign w:val="center"/>
          </w:tcPr>
          <w:p w14:paraId="52126AB5">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80" w:type="pct"/>
            <w:shd w:val="clear" w:color="auto" w:fill="auto"/>
            <w:vAlign w:val="center"/>
          </w:tcPr>
          <w:p w14:paraId="542CD8FA">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07FE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vMerge w:val="restart"/>
            <w:shd w:val="clear" w:color="auto" w:fill="auto"/>
            <w:vAlign w:val="center"/>
          </w:tcPr>
          <w:p w14:paraId="61C6ADC4">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0A8C460C">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w:t>
            </w:r>
            <w:r>
              <w:rPr>
                <w:rFonts w:hint="eastAsia"/>
                <w:snapToGrid w:val="0"/>
                <w:color w:val="000000"/>
                <w:spacing w:val="-3"/>
                <w:kern w:val="0"/>
                <w:position w:val="17"/>
                <w:sz w:val="24"/>
                <w:szCs w:val="24"/>
                <w:highlight w:val="none"/>
                <w:lang w:val="en-US" w:eastAsia="zh-CN"/>
              </w:rPr>
              <w:t>6</w:t>
            </w:r>
            <w:r>
              <w:rPr>
                <w:rFonts w:hint="eastAsia"/>
                <w:snapToGrid w:val="0"/>
                <w:color w:val="000000"/>
                <w:spacing w:val="-3"/>
                <w:kern w:val="0"/>
                <w:position w:val="17"/>
                <w:sz w:val="24"/>
                <w:szCs w:val="24"/>
                <w:highlight w:val="none"/>
              </w:rPr>
              <w:t>0分）</w:t>
            </w:r>
          </w:p>
        </w:tc>
        <w:tc>
          <w:tcPr>
            <w:tcW w:w="653" w:type="pct"/>
            <w:shd w:val="clear" w:color="auto" w:fill="auto"/>
            <w:vAlign w:val="center"/>
          </w:tcPr>
          <w:p w14:paraId="507367D8">
            <w:pPr>
              <w:pStyle w:val="47"/>
              <w:keepNext w:val="0"/>
              <w:keepLines w:val="0"/>
              <w:suppressLineNumbers w:val="0"/>
              <w:spacing w:before="78" w:beforeAutospacing="0" w:after="0" w:afterAutospacing="0" w:line="219" w:lineRule="auto"/>
              <w:ind w:left="0" w:right="0"/>
              <w:jc w:val="center"/>
              <w:rPr>
                <w:rFonts w:hint="default" w:ascii="宋体" w:hAnsi="宋体" w:cs="宋体"/>
                <w:highlight w:val="none"/>
              </w:rPr>
            </w:pPr>
            <w:r>
              <w:rPr>
                <w:rFonts w:hint="default" w:ascii="宋体" w:hAnsi="宋体" w:cs="宋体" w:eastAsiaTheme="minorEastAsia"/>
                <w:kern w:val="2"/>
                <w:sz w:val="24"/>
                <w:szCs w:val="24"/>
                <w:highlight w:val="none"/>
                <w:lang w:val="en-US" w:eastAsia="zh-CN" w:bidi="ar-SA"/>
              </w:rPr>
              <w:t>对项目的理解深度</w:t>
            </w:r>
          </w:p>
        </w:tc>
        <w:tc>
          <w:tcPr>
            <w:tcW w:w="3081" w:type="pct"/>
            <w:shd w:val="clear" w:color="auto" w:fill="auto"/>
          </w:tcPr>
          <w:p w14:paraId="6F6BD67C">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rPr>
              <w:t>针对本项目</w:t>
            </w:r>
            <w:r>
              <w:rPr>
                <w:rFonts w:hint="eastAsia" w:ascii="宋体" w:hAnsi="宋体" w:cs="宋体"/>
                <w:sz w:val="24"/>
                <w:szCs w:val="24"/>
                <w:highlight w:val="none"/>
                <w:lang w:val="en-US" w:eastAsia="zh-CN"/>
              </w:rPr>
              <w:t>的理解深度</w:t>
            </w:r>
            <w:r>
              <w:rPr>
                <w:rFonts w:hint="default" w:ascii="宋体" w:hAnsi="宋体" w:cs="宋体"/>
                <w:sz w:val="24"/>
                <w:szCs w:val="24"/>
                <w:highlight w:val="none"/>
              </w:rPr>
              <w:t>进行综合评分</w:t>
            </w:r>
            <w:r>
              <w:rPr>
                <w:rFonts w:hint="eastAsia" w:ascii="宋体" w:hAnsi="宋体" w:cs="宋体"/>
                <w:sz w:val="24"/>
                <w:szCs w:val="24"/>
                <w:highlight w:val="none"/>
                <w:lang w:eastAsia="zh-CN"/>
              </w:rPr>
              <w:t>：</w:t>
            </w:r>
          </w:p>
          <w:p w14:paraId="3B1FDE0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（1）精准把握医用同位素药物生产工艺特性及项目建设内容，全面识别化学毒物泄漏、火灾爆炸、机械伤害等核心安全风险点，结合行业特点明确评价重点与难点，得5分；</w:t>
            </w:r>
          </w:p>
          <w:p w14:paraId="4B22635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（2）较好理解项目核心要素，能识别主要安全风险，但对风险成因及影响范围的分析不够深入，得</w:t>
            </w:r>
            <w:r>
              <w:rPr>
                <w:rFonts w:hint="eastAsia" w:ascii="宋体" w:hAnsi="宋体" w:cs="宋体"/>
                <w:sz w:val="24"/>
                <w:szCs w:val="24"/>
                <w:highlight w:val="none"/>
                <w:lang w:val="en-US" w:eastAsia="zh-CN"/>
              </w:rPr>
              <w:t>3</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p>
          <w:p w14:paraId="3D70EEB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（3）基本明确项目概况，未准确梳理</w:t>
            </w:r>
            <w:r>
              <w:rPr>
                <w:rFonts w:hint="eastAsia" w:ascii="宋体" w:hAnsi="宋体" w:cs="宋体"/>
                <w:sz w:val="24"/>
                <w:szCs w:val="24"/>
                <w:highlight w:val="none"/>
                <w:lang w:val="en-US" w:eastAsia="zh-CN"/>
              </w:rPr>
              <w:t>安全条件评价</w:t>
            </w:r>
            <w:r>
              <w:rPr>
                <w:rFonts w:hint="default" w:ascii="宋体" w:hAnsi="宋体" w:cs="宋体"/>
                <w:sz w:val="24"/>
                <w:szCs w:val="24"/>
                <w:highlight w:val="none"/>
                <w:lang w:val="en-US" w:eastAsia="zh-CN"/>
              </w:rPr>
              <w:t>重点，得1分</w:t>
            </w:r>
            <w:r>
              <w:rPr>
                <w:rFonts w:hint="eastAsia" w:ascii="宋体" w:hAnsi="宋体" w:cs="宋体"/>
                <w:sz w:val="24"/>
                <w:szCs w:val="24"/>
                <w:highlight w:val="none"/>
                <w:lang w:val="en-US" w:eastAsia="zh-CN"/>
              </w:rPr>
              <w:t>；</w:t>
            </w:r>
          </w:p>
          <w:p w14:paraId="1170C686">
            <w:pPr>
              <w:keepNext w:val="0"/>
              <w:keepLines w:val="0"/>
              <w:suppressLineNumbers w:val="0"/>
              <w:spacing w:before="0" w:beforeAutospacing="0" w:after="0" w:afterAutospacing="0" w:line="360" w:lineRule="auto"/>
              <w:ind w:left="0" w:right="0"/>
              <w:rPr>
                <w:rFonts w:hint="default" w:ascii="宋体" w:hAnsi="宋体" w:cs="宋体" w:eastAsiaTheme="minorEastAsia"/>
                <w:kern w:val="2"/>
                <w:sz w:val="24"/>
                <w:szCs w:val="24"/>
                <w:highlight w:val="none"/>
                <w:lang w:val="en-US" w:eastAsia="zh-CN" w:bidi="ar-SA"/>
              </w:rPr>
            </w:pPr>
            <w:r>
              <w:rPr>
                <w:rFonts w:hint="default" w:ascii="宋体" w:hAnsi="宋体" w:cs="宋体"/>
                <w:sz w:val="24"/>
                <w:szCs w:val="24"/>
                <w:highlight w:val="none"/>
                <w:lang w:val="en-US" w:eastAsia="zh-CN"/>
              </w:rPr>
              <w:t>（4）对项目理解存在重大偏差，未识别关键安全风险，得0分</w:t>
            </w:r>
            <w:r>
              <w:rPr>
                <w:rFonts w:hint="eastAsia" w:ascii="宋体" w:hAnsi="宋体" w:cs="宋体"/>
                <w:sz w:val="24"/>
                <w:szCs w:val="24"/>
                <w:highlight w:val="none"/>
                <w:lang w:val="en-US" w:eastAsia="zh-CN"/>
              </w:rPr>
              <w:t>。</w:t>
            </w:r>
          </w:p>
        </w:tc>
        <w:tc>
          <w:tcPr>
            <w:tcW w:w="580" w:type="pct"/>
            <w:shd w:val="clear" w:color="auto" w:fill="auto"/>
            <w:vAlign w:val="center"/>
          </w:tcPr>
          <w:p w14:paraId="78566FA7">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275E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4" w:type="pct"/>
            <w:vMerge w:val="continue"/>
            <w:shd w:val="clear" w:color="auto" w:fill="auto"/>
            <w:vAlign w:val="center"/>
          </w:tcPr>
          <w:p w14:paraId="71C74039">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3" w:type="pct"/>
            <w:shd w:val="clear" w:color="auto" w:fill="auto"/>
            <w:vAlign w:val="center"/>
          </w:tcPr>
          <w:p w14:paraId="4986790C">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技术方案合理性</w:t>
            </w:r>
          </w:p>
        </w:tc>
        <w:tc>
          <w:tcPr>
            <w:tcW w:w="3081" w:type="pct"/>
            <w:shd w:val="clear" w:color="auto" w:fill="auto"/>
          </w:tcPr>
          <w:p w14:paraId="04B7379D">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提供的技术方案合理性</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7E3330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（1）评价思路清晰，风险辨识方法、检测布点、安全对策措施等贴合项目生产工艺特性，符合《安全条件评价通则》等国家及行业标准，技术路线科学可行，得5分；</w:t>
            </w:r>
          </w:p>
          <w:p w14:paraId="6C5109DD">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（2）技术方案完整，评价方法基本合理，但针对项目工艺特点的针对性不足，得</w:t>
            </w:r>
            <w:r>
              <w:rPr>
                <w:rFonts w:hint="eastAsia" w:ascii="宋体" w:hAnsi="宋体" w:cs="宋体"/>
                <w:sz w:val="24"/>
                <w:szCs w:val="24"/>
                <w:highlight w:val="none"/>
                <w:lang w:val="en-US" w:eastAsia="zh-CN"/>
              </w:rPr>
              <w:t>3</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p>
          <w:p w14:paraId="2436FFE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（3）技术方案框架完整，但关键环节存在疏漏，得1分</w:t>
            </w:r>
            <w:r>
              <w:rPr>
                <w:rFonts w:hint="eastAsia" w:ascii="宋体" w:hAnsi="宋体" w:cs="宋体"/>
                <w:sz w:val="24"/>
                <w:szCs w:val="24"/>
                <w:highlight w:val="none"/>
                <w:lang w:val="en-US" w:eastAsia="zh-CN"/>
              </w:rPr>
              <w:t>；</w:t>
            </w:r>
          </w:p>
          <w:p w14:paraId="3D2EC515">
            <w:pPr>
              <w:keepNext w:val="0"/>
              <w:keepLines w:val="0"/>
              <w:suppressLineNumbers w:val="0"/>
              <w:spacing w:before="0" w:beforeAutospacing="0" w:after="0" w:afterAutospacing="0" w:line="360" w:lineRule="auto"/>
              <w:ind w:left="0" w:right="0"/>
              <w:rPr>
                <w:rFonts w:hint="default" w:cs="宋体" w:eastAsiaTheme="minorEastAsia"/>
                <w:kern w:val="2"/>
                <w:sz w:val="24"/>
                <w:szCs w:val="24"/>
                <w:highlight w:val="none"/>
                <w:lang w:val="en-US" w:eastAsia="zh-CN" w:bidi="ar-SA"/>
              </w:rPr>
            </w:pPr>
            <w:r>
              <w:rPr>
                <w:rFonts w:hint="default" w:ascii="宋体" w:hAnsi="宋体" w:cs="宋体"/>
                <w:sz w:val="24"/>
                <w:szCs w:val="24"/>
                <w:highlight w:val="none"/>
                <w:lang w:val="en-US" w:eastAsia="zh-CN"/>
              </w:rPr>
              <w:t>（4）技术方案存在重大缺陷，无法满足项目</w:t>
            </w:r>
            <w:r>
              <w:rPr>
                <w:rFonts w:hint="eastAsia" w:ascii="宋体" w:hAnsi="宋体" w:cs="宋体"/>
                <w:sz w:val="24"/>
                <w:szCs w:val="24"/>
                <w:highlight w:val="none"/>
                <w:lang w:val="en-US" w:eastAsia="zh-CN"/>
              </w:rPr>
              <w:t>安全条件评价</w:t>
            </w:r>
            <w:r>
              <w:rPr>
                <w:rFonts w:hint="default" w:ascii="宋体" w:hAnsi="宋体" w:cs="宋体"/>
                <w:sz w:val="24"/>
                <w:szCs w:val="24"/>
                <w:highlight w:val="none"/>
                <w:lang w:val="en-US" w:eastAsia="zh-CN"/>
              </w:rPr>
              <w:t>需求，得0分</w:t>
            </w:r>
            <w:r>
              <w:rPr>
                <w:rFonts w:hint="eastAsia" w:ascii="宋体" w:hAnsi="宋体" w:cs="宋体"/>
                <w:sz w:val="24"/>
                <w:szCs w:val="24"/>
                <w:highlight w:val="none"/>
                <w:lang w:val="en-US" w:eastAsia="zh-CN"/>
              </w:rPr>
              <w:t>。</w:t>
            </w:r>
          </w:p>
        </w:tc>
        <w:tc>
          <w:tcPr>
            <w:tcW w:w="580" w:type="pct"/>
            <w:shd w:val="clear" w:color="auto" w:fill="auto"/>
            <w:vAlign w:val="center"/>
          </w:tcPr>
          <w:p w14:paraId="4A0FC5E0">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0939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4" w:type="pct"/>
            <w:vMerge w:val="continue"/>
            <w:shd w:val="clear" w:color="auto" w:fill="auto"/>
            <w:vAlign w:val="center"/>
          </w:tcPr>
          <w:p w14:paraId="1D637369">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1417" w:type="dxa"/>
            <w:shd w:val="clear" w:color="auto" w:fill="auto"/>
            <w:vAlign w:val="center"/>
          </w:tcPr>
          <w:p w14:paraId="1AE0C487">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6688" w:type="dxa"/>
            <w:shd w:val="clear" w:color="auto" w:fill="auto"/>
            <w:vAlign w:val="center"/>
          </w:tcPr>
          <w:p w14:paraId="168A54B5">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工作进度安排满足采购人要求，各阶段时间分配合理，时间安排对完成任务具有保证性和可操作性。</w:t>
            </w:r>
          </w:p>
          <w:p w14:paraId="111D8A2C">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（1）投标人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24183CAE">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389C5F6">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780C47CC">
            <w:pPr>
              <w:keepNext w:val="0"/>
              <w:keepLines w:val="0"/>
              <w:suppressLineNumbers w:val="0"/>
              <w:spacing w:before="0" w:beforeAutospacing="0" w:after="0" w:afterAutospacing="0" w:line="360" w:lineRule="auto"/>
              <w:ind w:left="0" w:leftChars="0" w:right="0" w:rightChars="0"/>
              <w:jc w:val="left"/>
              <w:rPr>
                <w:rFonts w:hint="eastAsia" w:ascii="宋体" w:hAnsi="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80" w:type="pct"/>
            <w:shd w:val="clear" w:color="auto" w:fill="auto"/>
            <w:vAlign w:val="center"/>
          </w:tcPr>
          <w:p w14:paraId="70DCBB06">
            <w:pPr>
              <w:pStyle w:val="47"/>
              <w:keepNext w:val="0"/>
              <w:keepLines w:val="0"/>
              <w:suppressLineNumbers w:val="0"/>
              <w:spacing w:before="78" w:beforeAutospacing="0" w:after="0" w:afterAutospacing="0" w:line="219" w:lineRule="auto"/>
              <w:ind w:left="0" w:right="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0-5分</w:t>
            </w:r>
          </w:p>
        </w:tc>
      </w:tr>
      <w:tr w14:paraId="1218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4" w:type="pct"/>
            <w:vMerge w:val="continue"/>
            <w:shd w:val="clear" w:color="auto" w:fill="auto"/>
            <w:vAlign w:val="center"/>
          </w:tcPr>
          <w:p w14:paraId="456D4C32">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3" w:type="pct"/>
            <w:shd w:val="clear" w:color="auto" w:fill="auto"/>
            <w:vAlign w:val="center"/>
          </w:tcPr>
          <w:p w14:paraId="798629E8">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成果质量保障措施</w:t>
            </w:r>
          </w:p>
        </w:tc>
        <w:tc>
          <w:tcPr>
            <w:tcW w:w="3081" w:type="pct"/>
            <w:shd w:val="clear" w:color="auto" w:fill="auto"/>
          </w:tcPr>
          <w:p w14:paraId="23FF21C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提供的成果质量保障措施</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7F894C9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（1）建立全流程质量控制体系，涵盖现场调研数据审核、报告编制、多级内部评审等环节，明确责任分工与量化考核标准，能有效保障评价成果的准确性和合规性，得5分；</w:t>
            </w:r>
          </w:p>
          <w:p w14:paraId="590C1107">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 制定了主要环节的质量保障措施，流程基本清晰，但缺乏细化的考核机制，得3分；</w:t>
            </w:r>
          </w:p>
          <w:p w14:paraId="74986395">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（3）仅提出基础质量保障思路，未形成完整的管控流程，得1分；</w:t>
            </w:r>
          </w:p>
          <w:p w14:paraId="6E441803">
            <w:pPr>
              <w:keepNext w:val="0"/>
              <w:keepLines w:val="0"/>
              <w:suppressLineNumbers w:val="0"/>
              <w:spacing w:before="0" w:beforeAutospacing="0" w:after="0" w:afterAutospacing="0" w:line="360" w:lineRule="auto"/>
              <w:ind w:left="0" w:right="0"/>
              <w:rPr>
                <w:rFonts w:hint="eastAsia"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（4） 未制定有效的成果质量保障措施，得0分。</w:t>
            </w:r>
          </w:p>
        </w:tc>
        <w:tc>
          <w:tcPr>
            <w:tcW w:w="580" w:type="pct"/>
            <w:shd w:val="clear" w:color="auto" w:fill="auto"/>
            <w:vAlign w:val="center"/>
          </w:tcPr>
          <w:p w14:paraId="6F6C3581">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1470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84" w:type="pct"/>
            <w:vMerge w:val="continue"/>
            <w:shd w:val="clear" w:color="auto" w:fill="auto"/>
            <w:vAlign w:val="center"/>
          </w:tcPr>
          <w:p w14:paraId="6D2AB8A1">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3" w:type="pct"/>
            <w:shd w:val="clear" w:color="auto" w:fill="auto"/>
            <w:vAlign w:val="center"/>
          </w:tcPr>
          <w:p w14:paraId="40AC8B7C">
            <w:pPr>
              <w:pStyle w:val="47"/>
              <w:keepNext w:val="0"/>
              <w:keepLines w:val="0"/>
              <w:suppressLineNumbers w:val="0"/>
              <w:spacing w:before="78" w:beforeAutospacing="0" w:after="0" w:afterAutospacing="0" w:line="219" w:lineRule="auto"/>
              <w:ind w:left="0" w:right="0"/>
              <w:jc w:val="center"/>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服务响应及售后</w:t>
            </w:r>
            <w:r>
              <w:rPr>
                <w:rFonts w:hint="eastAsia" w:cs="宋体" w:eastAsiaTheme="minorEastAsia"/>
                <w:kern w:val="2"/>
                <w:sz w:val="24"/>
                <w:szCs w:val="24"/>
                <w:highlight w:val="none"/>
                <w:lang w:val="en-US" w:eastAsia="zh-CN" w:bidi="ar-SA"/>
              </w:rPr>
              <w:t>方案</w:t>
            </w:r>
          </w:p>
        </w:tc>
        <w:tc>
          <w:tcPr>
            <w:tcW w:w="3081" w:type="pct"/>
            <w:shd w:val="clear" w:color="auto" w:fill="auto"/>
            <w:vAlign w:val="top"/>
          </w:tcPr>
          <w:p w14:paraId="147C2F58">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提供的服务响应及售后方案</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39AED491">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（1）承诺的服务周期合理，建立24小时内响应机制，售后包含报告修改、安全技术咨询、应急处置指导等持续服务，明确服务时限与保障措施，得5分；</w:t>
            </w:r>
          </w:p>
          <w:p w14:paraId="38273ECB">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（2）服务周期符合要求，响应机制较完善，售后涵盖核心服务内容，但时限约定不明确，得3分；</w:t>
            </w:r>
          </w:p>
          <w:p w14:paraId="668B3B1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（3）基本满足服务响应及售后基础需求，但内容不全面，缺乏具体的保障措施，得1分；</w:t>
            </w:r>
          </w:p>
          <w:p w14:paraId="254FD9A7">
            <w:pPr>
              <w:keepNext w:val="0"/>
              <w:keepLines w:val="0"/>
              <w:suppressLineNumbers w:val="0"/>
              <w:spacing w:before="0" w:beforeAutospacing="0" w:after="0" w:afterAutospacing="0" w:line="360" w:lineRule="auto"/>
              <w:ind w:left="0" w:right="0"/>
              <w:rPr>
                <w:rFonts w:hint="eastAsia"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（4）未提供可行的服务响应及售后方案，得0分。</w:t>
            </w:r>
          </w:p>
        </w:tc>
        <w:tc>
          <w:tcPr>
            <w:tcW w:w="580" w:type="pct"/>
            <w:shd w:val="clear" w:color="auto" w:fill="auto"/>
            <w:vAlign w:val="center"/>
          </w:tcPr>
          <w:p w14:paraId="74EE0223">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14B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vMerge w:val="continue"/>
            <w:shd w:val="clear" w:color="auto" w:fill="auto"/>
          </w:tcPr>
          <w:p w14:paraId="3D90541F">
            <w:pPr>
              <w:keepNext w:val="0"/>
              <w:keepLines w:val="0"/>
              <w:suppressLineNumbers w:val="0"/>
              <w:spacing w:before="0" w:beforeAutospacing="0" w:after="0" w:afterAutospacing="0"/>
              <w:ind w:left="0" w:right="0"/>
              <w:rPr>
                <w:rFonts w:hint="default" w:ascii="宋体" w:hAnsi="宋体" w:cs="宋体"/>
                <w:highlight w:val="none"/>
              </w:rPr>
            </w:pPr>
          </w:p>
        </w:tc>
        <w:tc>
          <w:tcPr>
            <w:tcW w:w="653" w:type="pct"/>
            <w:shd w:val="clear" w:color="auto" w:fill="auto"/>
            <w:vAlign w:val="center"/>
          </w:tcPr>
          <w:p w14:paraId="7E3E2705">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投标人实力</w:t>
            </w:r>
          </w:p>
        </w:tc>
        <w:tc>
          <w:tcPr>
            <w:tcW w:w="3081" w:type="pct"/>
            <w:shd w:val="clear" w:color="auto" w:fill="auto"/>
          </w:tcPr>
          <w:p w14:paraId="76AB2DE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29E1E68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2F30B427">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6CEFF6BE">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r>
              <w:rPr>
                <w:rFonts w:hint="eastAsia" w:ascii="宋体" w:hAnsi="宋体" w:cs="宋体"/>
                <w:sz w:val="24"/>
                <w:szCs w:val="24"/>
                <w:highlight w:val="none"/>
                <w:lang w:eastAsia="zh-CN"/>
              </w:rPr>
              <w:t>。</w:t>
            </w:r>
          </w:p>
          <w:p w14:paraId="3BA0097B">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35368172">
            <w:pPr>
              <w:keepNext w:val="0"/>
              <w:keepLines w:val="0"/>
              <w:suppressLineNumbers w:val="0"/>
              <w:spacing w:before="0" w:beforeAutospacing="0" w:after="0" w:afterAutospacing="0" w:line="360" w:lineRule="auto"/>
              <w:ind w:left="0" w:right="0"/>
              <w:rPr>
                <w:rFonts w:hint="default" w:ascii="宋体" w:hAnsi="宋体" w:cs="宋体"/>
                <w:b/>
                <w:bCs/>
                <w:sz w:val="24"/>
                <w:szCs w:val="24"/>
                <w:highlight w:val="none"/>
              </w:rPr>
            </w:pPr>
            <w:r>
              <w:rPr>
                <w:rFonts w:hint="eastAsia" w:ascii="宋体" w:hAnsi="宋体" w:cs="宋体"/>
                <w:b w:val="0"/>
                <w:bCs w:val="0"/>
                <w:sz w:val="24"/>
                <w:szCs w:val="24"/>
                <w:highlight w:val="none"/>
              </w:rPr>
              <w:t>注：投标文件中提供证书扫描件和全国认证认可信息公共服务平台网站认证信息查询截图。</w:t>
            </w:r>
          </w:p>
        </w:tc>
        <w:tc>
          <w:tcPr>
            <w:tcW w:w="580" w:type="pct"/>
            <w:shd w:val="clear" w:color="auto" w:fill="auto"/>
            <w:vAlign w:val="center"/>
          </w:tcPr>
          <w:p w14:paraId="1DBD5AA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r>
      <w:tr w14:paraId="7B1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vMerge w:val="continue"/>
            <w:shd w:val="clear" w:color="auto" w:fill="auto"/>
          </w:tcPr>
          <w:p w14:paraId="2541BEE7">
            <w:pPr>
              <w:keepNext w:val="0"/>
              <w:keepLines w:val="0"/>
              <w:suppressLineNumbers w:val="0"/>
              <w:spacing w:before="0" w:beforeAutospacing="0" w:after="0" w:afterAutospacing="0"/>
              <w:ind w:left="0" w:right="0"/>
              <w:rPr>
                <w:rFonts w:hint="default" w:ascii="宋体" w:hAnsi="宋体" w:cs="宋体"/>
                <w:highlight w:val="none"/>
              </w:rPr>
            </w:pPr>
          </w:p>
        </w:tc>
        <w:tc>
          <w:tcPr>
            <w:tcW w:w="653" w:type="pct"/>
            <w:shd w:val="clear" w:color="auto" w:fill="auto"/>
            <w:vAlign w:val="center"/>
          </w:tcPr>
          <w:p w14:paraId="71C3B5ED">
            <w:pPr>
              <w:keepNext w:val="0"/>
              <w:keepLines w:val="0"/>
              <w:suppressLineNumbers w:val="0"/>
              <w:spacing w:before="0" w:beforeAutospacing="0" w:after="0" w:afterAutospacing="0" w:line="360" w:lineRule="auto"/>
              <w:ind w:left="0" w:right="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团队人员</w:t>
            </w:r>
          </w:p>
          <w:p w14:paraId="750ECBF9">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配备</w:t>
            </w:r>
          </w:p>
        </w:tc>
        <w:tc>
          <w:tcPr>
            <w:tcW w:w="3081" w:type="pct"/>
            <w:shd w:val="clear" w:color="auto" w:fill="auto"/>
          </w:tcPr>
          <w:p w14:paraId="2731F4B9">
            <w:pPr>
              <w:keepNext w:val="0"/>
              <w:keepLines w:val="0"/>
              <w:suppressLineNumbers w:val="0"/>
              <w:spacing w:before="0" w:beforeAutospacing="0" w:after="0" w:afterAutospacing="0" w:line="360" w:lineRule="auto"/>
              <w:ind w:left="0" w:right="0"/>
              <w:rPr>
                <w:rFonts w:hint="default" w:ascii="宋体" w:hAnsi="宋体" w:cs="宋体" w:eastAsiaTheme="minorEastAsia"/>
                <w:b w:val="0"/>
                <w:bCs w:val="0"/>
                <w:sz w:val="24"/>
                <w:szCs w:val="24"/>
                <w:highlight w:val="none"/>
                <w:lang w:val="en-US" w:eastAsia="zh-CN"/>
              </w:rPr>
            </w:pPr>
            <w:r>
              <w:rPr>
                <w:rFonts w:hint="default" w:ascii="宋体" w:hAnsi="宋体" w:cs="宋体"/>
                <w:b w:val="0"/>
                <w:bCs w:val="0"/>
                <w:sz w:val="24"/>
                <w:szCs w:val="24"/>
                <w:highlight w:val="none"/>
                <w:lang w:val="en-US" w:eastAsia="zh-CN"/>
              </w:rPr>
              <w:t>项目负责人为省级应急管理专家组成员的得6分，为地级市应急管理专家组成员的得3分；项目组</w:t>
            </w:r>
            <w:r>
              <w:rPr>
                <w:rFonts w:hint="eastAsia" w:ascii="宋体" w:hAnsi="宋体" w:cs="宋体"/>
                <w:b w:val="0"/>
                <w:bCs w:val="0"/>
                <w:sz w:val="24"/>
                <w:szCs w:val="24"/>
                <w:highlight w:val="none"/>
                <w:lang w:val="en-US" w:eastAsia="zh-CN"/>
              </w:rPr>
              <w:t>其他</w:t>
            </w:r>
            <w:r>
              <w:rPr>
                <w:rFonts w:hint="default" w:ascii="宋体" w:hAnsi="宋体" w:cs="宋体"/>
                <w:b w:val="0"/>
                <w:bCs w:val="0"/>
                <w:sz w:val="24"/>
                <w:szCs w:val="24"/>
                <w:highlight w:val="none"/>
                <w:lang w:val="en-US" w:eastAsia="zh-CN"/>
              </w:rPr>
              <w:t>成员具</w:t>
            </w:r>
            <w:r>
              <w:rPr>
                <w:rFonts w:hint="eastAsia" w:ascii="宋体" w:hAnsi="宋体" w:cs="宋体"/>
                <w:b w:val="0"/>
                <w:bCs w:val="0"/>
                <w:sz w:val="24"/>
                <w:szCs w:val="24"/>
                <w:highlight w:val="none"/>
                <w:lang w:val="en-US" w:eastAsia="zh-CN"/>
              </w:rPr>
              <w:t>有</w:t>
            </w:r>
            <w:r>
              <w:rPr>
                <w:rFonts w:hint="default" w:ascii="宋体" w:hAnsi="宋体" w:cs="宋体"/>
                <w:b w:val="0"/>
                <w:bCs w:val="0"/>
                <w:sz w:val="24"/>
                <w:szCs w:val="24"/>
                <w:highlight w:val="none"/>
                <w:lang w:val="en-US" w:eastAsia="zh-CN"/>
              </w:rPr>
              <w:t>副高级及以上职称或</w:t>
            </w:r>
            <w:r>
              <w:rPr>
                <w:rFonts w:hint="eastAsia" w:ascii="宋体" w:hAnsi="宋体" w:cs="宋体"/>
                <w:b w:val="0"/>
                <w:bCs w:val="0"/>
                <w:sz w:val="24"/>
                <w:szCs w:val="24"/>
                <w:highlight w:val="none"/>
                <w:lang w:val="en-US" w:eastAsia="zh-CN"/>
              </w:rPr>
              <w:t>安全条件评价</w:t>
            </w:r>
            <w:r>
              <w:rPr>
                <w:rFonts w:hint="default" w:ascii="宋体" w:hAnsi="宋体" w:cs="宋体"/>
                <w:b w:val="0"/>
                <w:bCs w:val="0"/>
                <w:sz w:val="24"/>
                <w:szCs w:val="24"/>
                <w:highlight w:val="none"/>
                <w:lang w:val="en-US" w:eastAsia="zh-CN"/>
              </w:rPr>
              <w:t>师</w:t>
            </w:r>
            <w:r>
              <w:rPr>
                <w:rFonts w:hint="eastAsia" w:ascii="宋体" w:hAnsi="宋体" w:cs="宋体"/>
                <w:b w:val="0"/>
                <w:bCs w:val="0"/>
                <w:sz w:val="24"/>
                <w:szCs w:val="24"/>
                <w:highlight w:val="none"/>
                <w:lang w:val="en-US" w:eastAsia="zh-CN"/>
              </w:rPr>
              <w:t>资格证书的，</w:t>
            </w:r>
            <w:r>
              <w:rPr>
                <w:rFonts w:hint="default" w:ascii="宋体" w:hAnsi="宋体" w:cs="宋体"/>
                <w:b w:val="0"/>
                <w:bCs w:val="0"/>
                <w:sz w:val="24"/>
                <w:szCs w:val="24"/>
                <w:highlight w:val="none"/>
                <w:lang w:val="en-US" w:eastAsia="zh-CN"/>
              </w:rPr>
              <w:t>每</w:t>
            </w:r>
            <w:r>
              <w:rPr>
                <w:rFonts w:hint="eastAsia" w:ascii="宋体" w:hAnsi="宋体" w:cs="宋体"/>
                <w:b w:val="0"/>
                <w:bCs w:val="0"/>
                <w:sz w:val="24"/>
                <w:szCs w:val="24"/>
                <w:highlight w:val="none"/>
                <w:lang w:val="en-US" w:eastAsia="zh-CN"/>
              </w:rPr>
              <w:t>有</w:t>
            </w:r>
            <w:r>
              <w:rPr>
                <w:rFonts w:hint="default" w:ascii="宋体" w:hAnsi="宋体" w:cs="宋体"/>
                <w:b w:val="0"/>
                <w:bCs w:val="0"/>
                <w:sz w:val="24"/>
                <w:szCs w:val="24"/>
                <w:highlight w:val="none"/>
                <w:lang w:val="en-US" w:eastAsia="zh-CN"/>
              </w:rPr>
              <w:t>1人得</w:t>
            </w:r>
            <w:r>
              <w:rPr>
                <w:rFonts w:hint="eastAsia" w:ascii="宋体" w:hAnsi="宋体" w:cs="宋体"/>
                <w:b w:val="0"/>
                <w:bCs w:val="0"/>
                <w:sz w:val="24"/>
                <w:szCs w:val="24"/>
                <w:highlight w:val="none"/>
                <w:lang w:val="en-US" w:eastAsia="zh-CN"/>
              </w:rPr>
              <w:t>2</w:t>
            </w:r>
            <w:r>
              <w:rPr>
                <w:rFonts w:hint="default" w:ascii="宋体" w:hAnsi="宋体" w:cs="宋体"/>
                <w:b w:val="0"/>
                <w:bCs w:val="0"/>
                <w:sz w:val="24"/>
                <w:szCs w:val="24"/>
                <w:highlight w:val="none"/>
                <w:lang w:val="en-US" w:eastAsia="zh-CN"/>
              </w:rPr>
              <w:t>分，满分</w:t>
            </w:r>
            <w:r>
              <w:rPr>
                <w:rFonts w:hint="eastAsia" w:ascii="宋体" w:hAnsi="宋体" w:cs="宋体"/>
                <w:b w:val="0"/>
                <w:bCs w:val="0"/>
                <w:sz w:val="24"/>
                <w:szCs w:val="24"/>
                <w:highlight w:val="none"/>
                <w:lang w:val="en-US" w:eastAsia="zh-CN"/>
              </w:rPr>
              <w:t>10</w:t>
            </w:r>
            <w:r>
              <w:rPr>
                <w:rFonts w:hint="default" w:ascii="宋体" w:hAnsi="宋体" w:cs="宋体"/>
                <w:b w:val="0"/>
                <w:bCs w:val="0"/>
                <w:sz w:val="24"/>
                <w:szCs w:val="24"/>
                <w:highlight w:val="none"/>
                <w:lang w:val="en-US" w:eastAsia="zh-CN"/>
              </w:rPr>
              <w:t>分</w:t>
            </w:r>
            <w:r>
              <w:rPr>
                <w:rFonts w:hint="eastAsia" w:ascii="宋体" w:hAnsi="宋体" w:cs="宋体"/>
                <w:b w:val="0"/>
                <w:bCs w:val="0"/>
                <w:sz w:val="24"/>
                <w:szCs w:val="24"/>
                <w:highlight w:val="none"/>
                <w:lang w:val="en-US" w:eastAsia="zh-CN"/>
              </w:rPr>
              <w:t>；本项累计满分为16分</w:t>
            </w:r>
            <w:r>
              <w:rPr>
                <w:rFonts w:hint="default" w:ascii="宋体" w:hAnsi="宋体" w:cs="宋体"/>
                <w:b w:val="0"/>
                <w:bCs w:val="0"/>
                <w:sz w:val="24"/>
                <w:szCs w:val="24"/>
                <w:highlight w:val="none"/>
                <w:lang w:val="en-US" w:eastAsia="zh-CN"/>
              </w:rPr>
              <w:t>。</w:t>
            </w:r>
          </w:p>
          <w:p w14:paraId="098E1D91">
            <w:pPr>
              <w:keepNext w:val="0"/>
              <w:keepLines w:val="0"/>
              <w:suppressLineNumbers w:val="0"/>
              <w:spacing w:before="0" w:beforeAutospacing="0" w:after="0" w:afterAutospacing="0" w:line="360" w:lineRule="auto"/>
              <w:ind w:left="0" w:right="0"/>
              <w:rPr>
                <w:rFonts w:hint="default" w:ascii="宋体" w:hAnsi="宋体" w:cs="宋体" w:eastAsiaTheme="minorEastAsia"/>
                <w:b/>
                <w:bCs/>
                <w:sz w:val="24"/>
                <w:szCs w:val="24"/>
                <w:highlight w:val="none"/>
                <w:lang w:val="en-US" w:eastAsia="zh-CN"/>
              </w:rPr>
            </w:pPr>
            <w:r>
              <w:rPr>
                <w:rFonts w:hint="default" w:ascii="宋体" w:hAnsi="宋体" w:cs="宋体" w:eastAsiaTheme="minorEastAsia"/>
                <w:b w:val="0"/>
                <w:bCs w:val="0"/>
                <w:sz w:val="24"/>
                <w:szCs w:val="24"/>
                <w:highlight w:val="none"/>
                <w:lang w:val="en-US" w:eastAsia="zh-CN"/>
              </w:rPr>
              <w:t>注：上述所有人员必须为投标人本单位职工，投标时须提供人员相关证书</w:t>
            </w:r>
            <w:r>
              <w:rPr>
                <w:rFonts w:hint="eastAsia" w:ascii="宋体" w:hAnsi="宋体" w:cs="宋体"/>
                <w:b w:val="0"/>
                <w:bCs w:val="0"/>
                <w:sz w:val="24"/>
                <w:szCs w:val="24"/>
                <w:highlight w:val="none"/>
                <w:lang w:val="en-US" w:eastAsia="zh-CN"/>
              </w:rPr>
              <w:t>及</w:t>
            </w:r>
            <w:r>
              <w:rPr>
                <w:rFonts w:hint="default" w:ascii="宋体" w:hAnsi="宋体" w:cs="宋体" w:eastAsiaTheme="minorEastAsia"/>
                <w:b w:val="0"/>
                <w:bCs w:val="0"/>
                <w:sz w:val="24"/>
                <w:szCs w:val="24"/>
                <w:highlight w:val="none"/>
                <w:lang w:val="en-US" w:eastAsia="zh-CN"/>
              </w:rPr>
              <w:t>投标人为项目团队成员缴纳的自开标之日前半年内任意一个月社保缴费证明材料。</w:t>
            </w:r>
          </w:p>
        </w:tc>
        <w:tc>
          <w:tcPr>
            <w:tcW w:w="580" w:type="pct"/>
            <w:shd w:val="clear" w:color="auto" w:fill="auto"/>
            <w:vAlign w:val="center"/>
          </w:tcPr>
          <w:p w14:paraId="3FBF5C9E">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0-16分</w:t>
            </w:r>
          </w:p>
        </w:tc>
      </w:tr>
      <w:tr w14:paraId="4403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vMerge w:val="continue"/>
            <w:shd w:val="clear" w:color="auto" w:fill="auto"/>
          </w:tcPr>
          <w:p w14:paraId="627DF2D3">
            <w:pPr>
              <w:keepNext w:val="0"/>
              <w:keepLines w:val="0"/>
              <w:suppressLineNumbers w:val="0"/>
              <w:spacing w:before="0" w:beforeAutospacing="0" w:after="0" w:afterAutospacing="0"/>
              <w:ind w:left="0" w:right="0"/>
              <w:rPr>
                <w:rFonts w:hint="default" w:ascii="宋体" w:hAnsi="宋体" w:cs="宋体"/>
                <w:highlight w:val="none"/>
              </w:rPr>
            </w:pPr>
          </w:p>
        </w:tc>
        <w:tc>
          <w:tcPr>
            <w:tcW w:w="653" w:type="pct"/>
            <w:shd w:val="clear" w:color="auto" w:fill="auto"/>
            <w:vAlign w:val="center"/>
          </w:tcPr>
          <w:p w14:paraId="3ADAAFC3">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业绩</w:t>
            </w:r>
          </w:p>
        </w:tc>
        <w:tc>
          <w:tcPr>
            <w:tcW w:w="3081" w:type="pct"/>
            <w:shd w:val="clear" w:color="auto" w:fill="auto"/>
          </w:tcPr>
          <w:p w14:paraId="2EC7B97B">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自2022年1月1日以来至投标截止之日止（以项目合同签订日期为准），投标人作为独立承担主体完成的化工或医药建设领域评价类项目业绩的且单个项目合同金额不低于10万元的，每提供1个业绩得2分，本项累计满分10分。</w:t>
            </w:r>
          </w:p>
          <w:p w14:paraId="3703BD55">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注：1、提供合同复印件或扫描件或影印件并加盖投标人公章。</w:t>
            </w:r>
          </w:p>
          <w:p w14:paraId="0772563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2.投标文件中所提供的业绩均为已</w:t>
            </w:r>
            <w:r>
              <w:rPr>
                <w:rFonts w:hint="eastAsia" w:ascii="宋体" w:hAnsi="宋体" w:cs="宋体"/>
                <w:sz w:val="24"/>
                <w:szCs w:val="24"/>
                <w:highlight w:val="none"/>
                <w:lang w:val="en-US" w:eastAsia="zh-CN"/>
              </w:rPr>
              <w:t>评价</w:t>
            </w:r>
            <w:r>
              <w:rPr>
                <w:rFonts w:hint="default" w:ascii="宋体" w:hAnsi="宋体" w:cs="宋体"/>
                <w:sz w:val="24"/>
                <w:szCs w:val="24"/>
                <w:highlight w:val="none"/>
                <w:lang w:val="en-US" w:eastAsia="zh-CN"/>
              </w:rPr>
              <w:t>完毕的业绩，投标人提供承诺函并加盖投标人公章。</w:t>
            </w:r>
          </w:p>
          <w:p w14:paraId="65ED7F1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提示：如</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虚假承诺</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将承担相关责任。</w:t>
            </w:r>
          </w:p>
        </w:tc>
        <w:tc>
          <w:tcPr>
            <w:tcW w:w="580" w:type="pct"/>
            <w:shd w:val="clear" w:color="auto" w:fill="auto"/>
            <w:vAlign w:val="center"/>
          </w:tcPr>
          <w:p w14:paraId="723CD67C">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r>
      <w:tr w14:paraId="69A2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6040FA7B">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5C2C6086">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4315" w:type="pct"/>
            <w:gridSpan w:val="3"/>
            <w:shd w:val="clear" w:color="auto" w:fill="auto"/>
            <w:vAlign w:val="center"/>
          </w:tcPr>
          <w:p w14:paraId="08F63A6D">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文件要求且最后报价最低的投标价格为基准价，其价格分为满分</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0分。其他投标人的价格分统一按照下列公式计算：</w:t>
            </w:r>
          </w:p>
          <w:p w14:paraId="79F63DD6">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0％×100</w:t>
            </w:r>
          </w:p>
        </w:tc>
      </w:tr>
    </w:tbl>
    <w:p w14:paraId="1AD0937D">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4E768AE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181BC713">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66280111">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67190E4C">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3F46F83F">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5EFE65D8">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27137881">
      <w:pPr>
        <w:keepNext w:val="0"/>
        <w:keepLines w:val="0"/>
        <w:widowControl/>
        <w:suppressLineNumbers w:val="0"/>
        <w:shd w:val="clear"/>
        <w:jc w:val="left"/>
        <w:rPr>
          <w:color w:val="auto"/>
          <w:highlight w:val="none"/>
        </w:rPr>
      </w:pPr>
    </w:p>
    <w:p w14:paraId="12495413">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2C46E67D">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6115C3C6">
      <w:pPr>
        <w:pStyle w:val="33"/>
        <w:shd w:val="clear"/>
        <w:rPr>
          <w:rFonts w:hint="eastAsia"/>
          <w:color w:val="auto"/>
          <w:highlight w:val="none"/>
        </w:rPr>
      </w:pPr>
    </w:p>
    <w:p w14:paraId="3150A3CB">
      <w:pPr>
        <w:pStyle w:val="17"/>
        <w:shd w:val="clear"/>
        <w:rPr>
          <w:rFonts w:hint="eastAsia"/>
          <w:color w:val="auto"/>
          <w:highlight w:val="none"/>
        </w:rPr>
      </w:pPr>
    </w:p>
    <w:p w14:paraId="407B8B2A">
      <w:pPr>
        <w:pStyle w:val="17"/>
        <w:shd w:val="clear"/>
        <w:rPr>
          <w:rFonts w:hint="eastAsia"/>
          <w:color w:val="auto"/>
          <w:highlight w:val="none"/>
        </w:rPr>
      </w:pPr>
    </w:p>
    <w:p w14:paraId="4133FD21">
      <w:pPr>
        <w:pStyle w:val="17"/>
        <w:shd w:val="clear"/>
        <w:ind w:left="0" w:leftChars="0" w:firstLine="0" w:firstLineChars="0"/>
        <w:rPr>
          <w:rFonts w:hint="eastAsia"/>
          <w:color w:val="auto"/>
          <w:highlight w:val="none"/>
        </w:rPr>
      </w:pPr>
    </w:p>
    <w:p w14:paraId="0D957A51">
      <w:pPr>
        <w:pStyle w:val="17"/>
        <w:shd w:val="clear"/>
        <w:rPr>
          <w:rFonts w:hint="eastAsia"/>
          <w:color w:val="auto"/>
          <w:highlight w:val="none"/>
        </w:rPr>
      </w:pPr>
    </w:p>
    <w:p w14:paraId="23512F6F">
      <w:pPr>
        <w:pStyle w:val="17"/>
        <w:shd w:val="clear"/>
        <w:rPr>
          <w:rFonts w:hint="eastAsia"/>
          <w:color w:val="auto"/>
          <w:highlight w:val="none"/>
        </w:rPr>
      </w:pPr>
    </w:p>
    <w:p w14:paraId="57381CF5">
      <w:pPr>
        <w:pStyle w:val="17"/>
        <w:shd w:val="clear"/>
        <w:rPr>
          <w:rFonts w:hint="eastAsia"/>
          <w:color w:val="auto"/>
          <w:highlight w:val="none"/>
        </w:rPr>
      </w:pPr>
    </w:p>
    <w:p w14:paraId="5A3E5535">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AAC84DF">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00DA4A8E">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5550E6A0">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26721210">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2A9B7B9">
      <w:pPr>
        <w:pStyle w:val="33"/>
        <w:shd w:val="clear"/>
        <w:rPr>
          <w:rFonts w:hint="default" w:ascii="宋体" w:hAnsi="宋体" w:eastAsia="宋体" w:cs="宋体"/>
          <w:b/>
          <w:bCs/>
          <w:color w:val="auto"/>
          <w:sz w:val="28"/>
          <w:szCs w:val="28"/>
          <w:highlight w:val="none"/>
          <w:lang w:val="en-US" w:eastAsia="zh-CN"/>
        </w:rPr>
      </w:pPr>
    </w:p>
    <w:p w14:paraId="5775E887">
      <w:pPr>
        <w:pStyle w:val="33"/>
        <w:shd w:val="clear"/>
        <w:rPr>
          <w:rFonts w:hint="default" w:ascii="宋体" w:hAnsi="宋体" w:eastAsia="宋体" w:cs="宋体"/>
          <w:b/>
          <w:bCs/>
          <w:color w:val="auto"/>
          <w:sz w:val="28"/>
          <w:szCs w:val="28"/>
          <w:highlight w:val="none"/>
          <w:lang w:val="en-US" w:eastAsia="zh-CN"/>
        </w:rPr>
      </w:pPr>
    </w:p>
    <w:p w14:paraId="2B0912B9">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5FD222F4">
      <w:pPr>
        <w:shd w:val="clear"/>
        <w:jc w:val="center"/>
        <w:rPr>
          <w:rFonts w:hint="eastAsia"/>
          <w:color w:val="auto"/>
          <w:sz w:val="44"/>
          <w:szCs w:val="52"/>
          <w:highlight w:val="none"/>
          <w:lang w:val="en-US" w:eastAsia="zh-CN"/>
        </w:rPr>
      </w:pPr>
    </w:p>
    <w:p w14:paraId="65C06121">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7320E717">
      <w:pPr>
        <w:pStyle w:val="6"/>
        <w:rPr>
          <w:rFonts w:hint="eastAsia"/>
          <w:highlight w:val="none"/>
        </w:rPr>
      </w:pPr>
    </w:p>
    <w:p w14:paraId="2EA553D3">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7551C39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61792C3C">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C81F44C">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6BB960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7404749E">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2A370E6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432BED14">
      <w:pPr>
        <w:shd w:val="clear"/>
        <w:rPr>
          <w:rFonts w:hint="eastAsia" w:ascii="宋体" w:hAnsi="宋体" w:eastAsia="宋体" w:cs="宋体"/>
          <w:b/>
          <w:bCs/>
          <w:color w:val="auto"/>
          <w:sz w:val="20"/>
          <w:szCs w:val="20"/>
          <w:highlight w:val="none"/>
          <w:lang w:val="en-US" w:eastAsia="zh-CN"/>
        </w:rPr>
      </w:pPr>
    </w:p>
    <w:p w14:paraId="6DE38156">
      <w:pPr>
        <w:shd w:val="clear"/>
        <w:rPr>
          <w:rFonts w:hint="eastAsia" w:ascii="宋体" w:hAnsi="宋体" w:eastAsia="宋体" w:cs="宋体"/>
          <w:b/>
          <w:bCs/>
          <w:color w:val="auto"/>
          <w:sz w:val="20"/>
          <w:szCs w:val="20"/>
          <w:highlight w:val="none"/>
          <w:lang w:val="en-US" w:eastAsia="zh-CN"/>
        </w:rPr>
      </w:pPr>
    </w:p>
    <w:p w14:paraId="6155F258">
      <w:pPr>
        <w:shd w:val="clear"/>
        <w:rPr>
          <w:rFonts w:hint="eastAsia" w:ascii="宋体" w:hAnsi="宋体" w:eastAsia="宋体" w:cs="宋体"/>
          <w:b/>
          <w:bCs/>
          <w:color w:val="auto"/>
          <w:sz w:val="20"/>
          <w:szCs w:val="20"/>
          <w:highlight w:val="none"/>
          <w:lang w:val="en-US" w:eastAsia="zh-CN"/>
        </w:rPr>
      </w:pPr>
    </w:p>
    <w:p w14:paraId="4C3055AE">
      <w:pPr>
        <w:shd w:val="clear"/>
        <w:rPr>
          <w:rFonts w:hint="eastAsia" w:ascii="宋体" w:hAnsi="宋体" w:eastAsia="宋体" w:cs="宋体"/>
          <w:b/>
          <w:bCs/>
          <w:color w:val="auto"/>
          <w:sz w:val="20"/>
          <w:szCs w:val="20"/>
          <w:highlight w:val="none"/>
          <w:lang w:val="en-US" w:eastAsia="zh-CN"/>
        </w:rPr>
      </w:pPr>
    </w:p>
    <w:p w14:paraId="187E08EC">
      <w:pPr>
        <w:shd w:val="clear"/>
        <w:rPr>
          <w:rFonts w:hint="eastAsia" w:ascii="宋体" w:hAnsi="宋体" w:eastAsia="宋体" w:cs="宋体"/>
          <w:b/>
          <w:bCs/>
          <w:color w:val="auto"/>
          <w:sz w:val="20"/>
          <w:szCs w:val="20"/>
          <w:highlight w:val="none"/>
          <w:lang w:val="en-US" w:eastAsia="zh-CN"/>
        </w:rPr>
      </w:pPr>
    </w:p>
    <w:p w14:paraId="62362AEB">
      <w:pPr>
        <w:shd w:val="clear"/>
        <w:rPr>
          <w:rFonts w:hint="eastAsia" w:ascii="宋体" w:hAnsi="宋体" w:eastAsia="宋体" w:cs="宋体"/>
          <w:b/>
          <w:bCs/>
          <w:color w:val="auto"/>
          <w:sz w:val="20"/>
          <w:szCs w:val="20"/>
          <w:highlight w:val="none"/>
        </w:rPr>
      </w:pPr>
    </w:p>
    <w:p w14:paraId="25BE90FA">
      <w:pPr>
        <w:pStyle w:val="33"/>
        <w:shd w:val="clear"/>
        <w:rPr>
          <w:rFonts w:hint="eastAsia" w:ascii="宋体" w:hAnsi="宋体" w:eastAsia="宋体" w:cs="宋体"/>
          <w:b/>
          <w:bCs/>
          <w:color w:val="auto"/>
          <w:sz w:val="20"/>
          <w:szCs w:val="20"/>
          <w:highlight w:val="none"/>
        </w:rPr>
      </w:pPr>
    </w:p>
    <w:p w14:paraId="17EC6ED2">
      <w:pPr>
        <w:pStyle w:val="33"/>
        <w:shd w:val="clear"/>
        <w:rPr>
          <w:rFonts w:hint="eastAsia" w:ascii="宋体" w:hAnsi="宋体" w:eastAsia="宋体" w:cs="宋体"/>
          <w:b/>
          <w:bCs/>
          <w:color w:val="auto"/>
          <w:sz w:val="20"/>
          <w:szCs w:val="20"/>
          <w:highlight w:val="none"/>
        </w:rPr>
      </w:pPr>
    </w:p>
    <w:p w14:paraId="48809774">
      <w:pPr>
        <w:pStyle w:val="33"/>
        <w:shd w:val="clear"/>
        <w:rPr>
          <w:rFonts w:hint="eastAsia" w:ascii="宋体" w:hAnsi="宋体" w:eastAsia="宋体" w:cs="宋体"/>
          <w:b/>
          <w:bCs/>
          <w:color w:val="auto"/>
          <w:sz w:val="20"/>
          <w:szCs w:val="20"/>
          <w:highlight w:val="none"/>
        </w:rPr>
      </w:pPr>
    </w:p>
    <w:p w14:paraId="6EA8BAA2">
      <w:pPr>
        <w:pStyle w:val="33"/>
        <w:shd w:val="clear"/>
        <w:rPr>
          <w:rFonts w:hint="eastAsia" w:ascii="宋体" w:hAnsi="宋体" w:eastAsia="宋体" w:cs="宋体"/>
          <w:b/>
          <w:bCs/>
          <w:color w:val="auto"/>
          <w:sz w:val="20"/>
          <w:szCs w:val="20"/>
          <w:highlight w:val="none"/>
        </w:rPr>
      </w:pPr>
    </w:p>
    <w:p w14:paraId="5CE2B864">
      <w:pPr>
        <w:pStyle w:val="33"/>
        <w:shd w:val="clear"/>
        <w:ind w:left="0" w:leftChars="0" w:firstLine="0" w:firstLineChars="0"/>
        <w:rPr>
          <w:rFonts w:hint="eastAsia" w:ascii="宋体" w:hAnsi="宋体" w:eastAsia="宋体" w:cs="宋体"/>
          <w:b/>
          <w:bCs/>
          <w:color w:val="auto"/>
          <w:sz w:val="20"/>
          <w:szCs w:val="20"/>
          <w:highlight w:val="none"/>
        </w:rPr>
      </w:pPr>
    </w:p>
    <w:p w14:paraId="532C92A1">
      <w:pPr>
        <w:pStyle w:val="33"/>
        <w:shd w:val="clear"/>
        <w:ind w:left="0" w:leftChars="0" w:firstLine="0" w:firstLineChars="0"/>
        <w:rPr>
          <w:rFonts w:hint="eastAsia" w:ascii="宋体" w:hAnsi="宋体" w:eastAsia="宋体" w:cs="宋体"/>
          <w:b/>
          <w:bCs/>
          <w:color w:val="auto"/>
          <w:sz w:val="20"/>
          <w:szCs w:val="20"/>
          <w:highlight w:val="none"/>
        </w:rPr>
      </w:pPr>
    </w:p>
    <w:p w14:paraId="6C7C05C8">
      <w:pPr>
        <w:pStyle w:val="33"/>
        <w:shd w:val="clear"/>
        <w:ind w:left="0" w:leftChars="0" w:firstLine="0" w:firstLineChars="0"/>
        <w:rPr>
          <w:rFonts w:hint="eastAsia" w:ascii="宋体" w:hAnsi="宋体" w:eastAsia="宋体" w:cs="宋体"/>
          <w:b/>
          <w:bCs/>
          <w:color w:val="auto"/>
          <w:sz w:val="20"/>
          <w:szCs w:val="20"/>
          <w:highlight w:val="none"/>
        </w:rPr>
      </w:pPr>
    </w:p>
    <w:p w14:paraId="6A524E7E">
      <w:pPr>
        <w:pStyle w:val="33"/>
        <w:shd w:val="clear"/>
        <w:ind w:left="0" w:leftChars="0" w:firstLine="0" w:firstLineChars="0"/>
        <w:rPr>
          <w:rFonts w:hint="eastAsia" w:ascii="宋体" w:hAnsi="宋体" w:eastAsia="宋体" w:cs="宋体"/>
          <w:b/>
          <w:bCs/>
          <w:color w:val="auto"/>
          <w:sz w:val="20"/>
          <w:szCs w:val="20"/>
          <w:highlight w:val="none"/>
        </w:rPr>
      </w:pPr>
    </w:p>
    <w:p w14:paraId="414D1CAA">
      <w:pPr>
        <w:pStyle w:val="33"/>
        <w:shd w:val="clear"/>
        <w:ind w:left="0" w:leftChars="0" w:firstLine="0" w:firstLineChars="0"/>
        <w:rPr>
          <w:rFonts w:hint="eastAsia" w:ascii="宋体" w:hAnsi="宋体" w:eastAsia="宋体" w:cs="宋体"/>
          <w:b/>
          <w:bCs/>
          <w:color w:val="auto"/>
          <w:sz w:val="20"/>
          <w:szCs w:val="20"/>
          <w:highlight w:val="none"/>
        </w:rPr>
      </w:pPr>
    </w:p>
    <w:p w14:paraId="7C4AFB95">
      <w:pPr>
        <w:shd w:val="clear"/>
        <w:rPr>
          <w:rFonts w:hint="eastAsia" w:ascii="宋体" w:hAnsi="宋体" w:eastAsia="宋体" w:cs="宋体"/>
          <w:b/>
          <w:bCs/>
          <w:color w:val="auto"/>
          <w:sz w:val="20"/>
          <w:szCs w:val="20"/>
          <w:highlight w:val="none"/>
        </w:rPr>
      </w:pPr>
    </w:p>
    <w:p w14:paraId="36D7C66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4766653B">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39CDE9DF">
      <w:pPr>
        <w:jc w:val="center"/>
        <w:rPr>
          <w:rFonts w:hint="eastAsia" w:ascii="宋体" w:hAnsi="宋体" w:eastAsia="宋体" w:cs="宋体"/>
          <w:b/>
          <w:color w:val="auto"/>
          <w:sz w:val="24"/>
          <w:szCs w:val="24"/>
          <w:highlight w:val="none"/>
        </w:rPr>
      </w:pPr>
    </w:p>
    <w:p w14:paraId="1DF4BD7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CC4C6B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5FCB8D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051499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BE520D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671AB77">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8D3445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4CC55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2DBE084B">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1C72422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4352A12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08B3C7B3">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0AB1EA12">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72521961">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6DBC015B">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538EBAAC">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7B14609C">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7077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261AF62E">
      <w:pPr>
        <w:rPr>
          <w:rFonts w:hint="eastAsia" w:ascii="仿宋" w:hAnsi="仿宋" w:eastAsia="仿宋" w:cs="仿宋"/>
          <w:color w:val="auto"/>
          <w:sz w:val="28"/>
          <w:szCs w:val="28"/>
          <w:highlight w:val="none"/>
          <w:lang w:val="en-US" w:eastAsia="zh-CN"/>
        </w:rPr>
      </w:pPr>
    </w:p>
    <w:p w14:paraId="0EFCFFC3">
      <w:pPr>
        <w:rPr>
          <w:rFonts w:hint="eastAsia" w:ascii="仿宋" w:hAnsi="仿宋" w:eastAsia="仿宋" w:cs="仿宋"/>
          <w:color w:val="auto"/>
          <w:sz w:val="28"/>
          <w:szCs w:val="28"/>
          <w:highlight w:val="none"/>
          <w:lang w:val="en-US" w:eastAsia="zh-CN"/>
        </w:rPr>
      </w:pPr>
    </w:p>
    <w:p w14:paraId="3CE2BA21">
      <w:pPr>
        <w:rPr>
          <w:rFonts w:hint="eastAsia" w:ascii="仿宋" w:hAnsi="仿宋" w:eastAsia="仿宋" w:cs="仿宋"/>
          <w:color w:val="auto"/>
          <w:sz w:val="28"/>
          <w:szCs w:val="28"/>
          <w:highlight w:val="none"/>
          <w:lang w:val="en-US" w:eastAsia="zh-CN"/>
        </w:rPr>
      </w:pPr>
    </w:p>
    <w:p w14:paraId="7A229F1D">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21A836BA">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6F559927">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6A437DF6">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77A0B5A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DD3C60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0F7AFA0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1FB635B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33540BF6">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2F2C2E6D">
      <w:pPr>
        <w:pStyle w:val="33"/>
        <w:ind w:left="0" w:leftChars="0" w:firstLine="0" w:firstLineChars="0"/>
        <w:rPr>
          <w:color w:val="auto"/>
          <w:highlight w:val="none"/>
        </w:rPr>
      </w:pPr>
    </w:p>
    <w:p w14:paraId="0B282350">
      <w:pPr>
        <w:spacing w:line="360" w:lineRule="auto"/>
        <w:ind w:firstLine="435"/>
        <w:rPr>
          <w:rFonts w:asciiTheme="minorEastAsia" w:hAnsiTheme="minorEastAsia" w:eastAsiaTheme="minorEastAsia"/>
          <w:color w:val="auto"/>
          <w:sz w:val="24"/>
          <w:highlight w:val="none"/>
        </w:rPr>
      </w:pPr>
    </w:p>
    <w:p w14:paraId="5669EBA8">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4D1349D9">
      <w:pPr>
        <w:spacing w:line="360" w:lineRule="auto"/>
        <w:ind w:firstLine="435"/>
        <w:rPr>
          <w:rFonts w:hAnsi="宋体"/>
          <w:color w:val="auto"/>
          <w:sz w:val="24"/>
          <w:szCs w:val="28"/>
          <w:highlight w:val="none"/>
          <w:lang w:val="zh-CN"/>
        </w:rPr>
      </w:pPr>
    </w:p>
    <w:p w14:paraId="4987718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46EE52D">
      <w:pPr>
        <w:spacing w:line="360" w:lineRule="auto"/>
        <w:rPr>
          <w:rFonts w:ascii="宋体" w:hAnsi="宋体"/>
          <w:color w:val="auto"/>
          <w:sz w:val="24"/>
          <w:szCs w:val="28"/>
          <w:highlight w:val="none"/>
        </w:rPr>
      </w:pPr>
    </w:p>
    <w:p w14:paraId="61852304">
      <w:pPr>
        <w:spacing w:line="360" w:lineRule="auto"/>
        <w:ind w:firstLine="435"/>
        <w:rPr>
          <w:rFonts w:asciiTheme="minorEastAsia" w:hAnsiTheme="minorEastAsia" w:eastAsiaTheme="minorEastAsia"/>
          <w:color w:val="auto"/>
          <w:sz w:val="24"/>
          <w:highlight w:val="none"/>
        </w:rPr>
      </w:pPr>
    </w:p>
    <w:p w14:paraId="4D5F6316">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82B4C20">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459A370A">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3BF862C7">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4B85D23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5D62185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465F492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79CF75BA">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14AF4CA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7EC6C57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51EB743C">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7956560B">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4E4BA008">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1CEB1A9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C91180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5A103F28">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59E3111B">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68AF770">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46E66A9">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CABB986">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9BCD7C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B6DA966">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9BF99B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0CD3930">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7F32388D">
      <w:pPr>
        <w:rPr>
          <w:rFonts w:hint="eastAsia"/>
          <w:highlight w:val="none"/>
          <w:lang w:val="en-US" w:eastAsia="zh-CN"/>
        </w:rPr>
      </w:pPr>
    </w:p>
    <w:p w14:paraId="0F8C3608">
      <w:pPr>
        <w:pStyle w:val="4"/>
        <w:widowControl/>
        <w:shd w:val="clear"/>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6、供应商声明函</w:t>
      </w:r>
    </w:p>
    <w:p w14:paraId="14126C7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5EE97C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69BD8B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53E32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585F5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44D79B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6515F8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F27B6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128E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9C5AD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3DE6AC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179BF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7238F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5D275F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052584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21A5FC9A">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4E4BF21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56AB380F">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2B4A2738">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1736D75F">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389F9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3E9566DE">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w:t>
      </w:r>
      <w:r>
        <w:rPr>
          <w:rFonts w:hint="eastAsia" w:ascii="宋体" w:hAnsi="宋体" w:eastAsia="宋体" w:cs="宋体"/>
          <w:b/>
          <w:bCs/>
          <w:color w:val="auto"/>
          <w:sz w:val="32"/>
          <w:szCs w:val="32"/>
          <w:highlight w:val="none"/>
          <w:lang w:val="en-US" w:eastAsia="zh-CN"/>
        </w:rPr>
        <w:t>服务</w:t>
      </w:r>
      <w:r>
        <w:rPr>
          <w:rFonts w:hint="eastAsia" w:ascii="宋体" w:hAnsi="宋体" w:cs="宋体"/>
          <w:b/>
          <w:bCs/>
          <w:color w:val="auto"/>
          <w:sz w:val="32"/>
          <w:szCs w:val="32"/>
          <w:highlight w:val="none"/>
        </w:rPr>
        <w:t>要求</w:t>
      </w:r>
      <w:r>
        <w:rPr>
          <w:rFonts w:hint="eastAsia" w:ascii="宋体" w:hAnsi="宋体" w:eastAsia="宋体" w:cs="宋体"/>
          <w:b/>
          <w:bCs/>
          <w:color w:val="auto"/>
          <w:kern w:val="2"/>
          <w:sz w:val="32"/>
          <w:szCs w:val="32"/>
          <w:highlight w:val="none"/>
          <w:lang w:val="en-US" w:eastAsia="zh-CN" w:bidi="ar"/>
        </w:rPr>
        <w:t>响应表</w:t>
      </w:r>
    </w:p>
    <w:p w14:paraId="1D3EC063">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7B13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16E83C7">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55B5DD59">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服务</w:t>
            </w:r>
            <w:r>
              <w:rPr>
                <w:rFonts w:hint="default" w:ascii="仿宋" w:hAnsi="仿宋" w:eastAsia="仿宋" w:cs="仿宋"/>
                <w:color w:val="auto"/>
                <w:sz w:val="28"/>
                <w:szCs w:val="28"/>
                <w:highlight w:val="none"/>
                <w:lang w:val="en-US"/>
              </w:rPr>
              <w:t>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36FB2352">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响应服务</w:t>
            </w:r>
            <w:r>
              <w:rPr>
                <w:rFonts w:hint="default" w:ascii="仿宋" w:hAnsi="仿宋" w:eastAsia="仿宋" w:cs="仿宋"/>
                <w:color w:val="auto"/>
                <w:sz w:val="28"/>
                <w:szCs w:val="28"/>
                <w:highlight w:val="none"/>
                <w:lang w:val="en-US"/>
              </w:rPr>
              <w:t>要求</w:t>
            </w:r>
          </w:p>
        </w:tc>
      </w:tr>
      <w:tr w14:paraId="6B1A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42B19B3">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B441F12">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2710CF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4FA9BB3F">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6C4BFF1A">
      <w:pPr>
        <w:pStyle w:val="16"/>
        <w:widowControl/>
        <w:shd w:val="clear"/>
        <w:ind w:left="0" w:firstLine="240"/>
        <w:rPr>
          <w:rFonts w:hint="eastAsia" w:ascii="仿宋" w:hAnsi="仿宋" w:eastAsia="仿宋" w:cs="仿宋"/>
          <w:color w:val="auto"/>
          <w:sz w:val="28"/>
          <w:szCs w:val="28"/>
          <w:highlight w:val="none"/>
          <w:lang w:val="en-US"/>
        </w:rPr>
      </w:pPr>
    </w:p>
    <w:p w14:paraId="52538F61">
      <w:pPr>
        <w:pStyle w:val="16"/>
        <w:widowControl/>
        <w:shd w:val="clear"/>
        <w:ind w:left="0" w:firstLine="240"/>
        <w:rPr>
          <w:rFonts w:hint="eastAsia" w:ascii="仿宋" w:hAnsi="仿宋" w:eastAsia="仿宋" w:cs="仿宋"/>
          <w:color w:val="auto"/>
          <w:sz w:val="28"/>
          <w:szCs w:val="28"/>
          <w:highlight w:val="none"/>
          <w:lang w:val="en-US"/>
        </w:rPr>
      </w:pPr>
    </w:p>
    <w:p w14:paraId="3BB6E1F0">
      <w:pPr>
        <w:pStyle w:val="16"/>
        <w:widowControl/>
        <w:shd w:val="clear"/>
        <w:ind w:left="0" w:firstLine="240"/>
        <w:rPr>
          <w:rFonts w:hint="eastAsia" w:ascii="仿宋" w:hAnsi="仿宋" w:eastAsia="仿宋" w:cs="仿宋"/>
          <w:color w:val="auto"/>
          <w:sz w:val="28"/>
          <w:szCs w:val="28"/>
          <w:highlight w:val="none"/>
          <w:lang w:val="en-US"/>
        </w:rPr>
      </w:pPr>
    </w:p>
    <w:p w14:paraId="66F2D695">
      <w:pPr>
        <w:pStyle w:val="16"/>
        <w:widowControl/>
        <w:shd w:val="clear"/>
        <w:ind w:left="0" w:firstLine="240"/>
        <w:rPr>
          <w:rFonts w:hint="eastAsia" w:ascii="仿宋" w:hAnsi="仿宋" w:eastAsia="仿宋" w:cs="仿宋"/>
          <w:color w:val="auto"/>
          <w:sz w:val="28"/>
          <w:szCs w:val="28"/>
          <w:highlight w:val="none"/>
          <w:lang w:val="en-US"/>
        </w:rPr>
      </w:pPr>
    </w:p>
    <w:p w14:paraId="69D208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B6442D2">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法人或其委托代理人：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0FB68138">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7E9A2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1057B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5E41567">
      <w:pPr>
        <w:rPr>
          <w:rFonts w:hint="eastAsia" w:ascii="宋体" w:hAnsi="宋体" w:eastAsia="宋体" w:cs="宋体"/>
          <w:b/>
          <w:bCs/>
          <w:color w:val="auto"/>
          <w:sz w:val="21"/>
          <w:szCs w:val="21"/>
          <w:highlight w:val="none"/>
        </w:rPr>
      </w:pPr>
    </w:p>
    <w:p w14:paraId="76D40574">
      <w:pPr>
        <w:rPr>
          <w:rFonts w:hint="eastAsia" w:ascii="宋体" w:hAnsi="宋体" w:eastAsia="宋体" w:cs="宋体"/>
          <w:b/>
          <w:bCs/>
          <w:color w:val="auto"/>
          <w:sz w:val="21"/>
          <w:szCs w:val="21"/>
          <w:highlight w:val="none"/>
        </w:rPr>
      </w:pPr>
    </w:p>
    <w:p w14:paraId="41E72943">
      <w:pPr>
        <w:rPr>
          <w:rFonts w:hint="eastAsia" w:ascii="宋体" w:hAnsi="宋体" w:eastAsia="宋体" w:cs="宋体"/>
          <w:b/>
          <w:bCs/>
          <w:color w:val="auto"/>
          <w:sz w:val="21"/>
          <w:szCs w:val="21"/>
          <w:highlight w:val="none"/>
        </w:rPr>
      </w:pPr>
    </w:p>
    <w:p w14:paraId="2A5FCEDA">
      <w:pPr>
        <w:rPr>
          <w:rFonts w:hint="eastAsia" w:ascii="宋体" w:hAnsi="宋体" w:eastAsia="宋体" w:cs="宋体"/>
          <w:b/>
          <w:bCs/>
          <w:color w:val="auto"/>
          <w:sz w:val="21"/>
          <w:szCs w:val="21"/>
          <w:highlight w:val="none"/>
        </w:rPr>
      </w:pPr>
    </w:p>
    <w:p w14:paraId="5643019B">
      <w:pPr>
        <w:rPr>
          <w:rFonts w:hint="eastAsia" w:ascii="宋体" w:hAnsi="宋体" w:eastAsia="宋体" w:cs="宋体"/>
          <w:b/>
          <w:bCs/>
          <w:color w:val="auto"/>
          <w:sz w:val="21"/>
          <w:szCs w:val="21"/>
          <w:highlight w:val="none"/>
        </w:rPr>
      </w:pPr>
    </w:p>
    <w:p w14:paraId="5834161A">
      <w:pPr>
        <w:rPr>
          <w:rFonts w:hint="eastAsia" w:ascii="宋体" w:hAnsi="宋体" w:eastAsia="宋体" w:cs="宋体"/>
          <w:b/>
          <w:bCs/>
          <w:color w:val="auto"/>
          <w:sz w:val="21"/>
          <w:szCs w:val="21"/>
          <w:highlight w:val="none"/>
        </w:rPr>
      </w:pPr>
    </w:p>
    <w:p w14:paraId="18D9FD9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8373148">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581AAF67">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0A9CE231">
      <w:pPr>
        <w:keepNext w:val="0"/>
        <w:keepLines w:val="0"/>
        <w:widowControl/>
        <w:suppressLineNumbers w:val="0"/>
        <w:shd w:val="clear"/>
        <w:jc w:val="left"/>
        <w:rPr>
          <w:color w:val="auto"/>
          <w:highlight w:val="none"/>
        </w:rPr>
      </w:pPr>
    </w:p>
    <w:p w14:paraId="4204F429">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23290C47">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02FF109A">
      <w:pPr>
        <w:pStyle w:val="33"/>
        <w:shd w:val="clear"/>
        <w:rPr>
          <w:rFonts w:hint="eastAsia"/>
          <w:color w:val="auto"/>
          <w:highlight w:val="none"/>
        </w:rPr>
      </w:pPr>
    </w:p>
    <w:p w14:paraId="0D1329D0">
      <w:pPr>
        <w:pStyle w:val="17"/>
        <w:shd w:val="clear"/>
        <w:rPr>
          <w:rFonts w:hint="eastAsia"/>
          <w:color w:val="auto"/>
          <w:highlight w:val="none"/>
        </w:rPr>
      </w:pPr>
    </w:p>
    <w:p w14:paraId="22266E16">
      <w:pPr>
        <w:pStyle w:val="17"/>
        <w:shd w:val="clear"/>
        <w:rPr>
          <w:rFonts w:hint="eastAsia"/>
          <w:color w:val="auto"/>
          <w:highlight w:val="none"/>
        </w:rPr>
      </w:pPr>
    </w:p>
    <w:p w14:paraId="2A8C3B5B">
      <w:pPr>
        <w:pStyle w:val="17"/>
        <w:shd w:val="clear"/>
        <w:ind w:left="0" w:leftChars="0" w:firstLine="0" w:firstLineChars="0"/>
        <w:rPr>
          <w:rFonts w:hint="eastAsia"/>
          <w:color w:val="auto"/>
          <w:highlight w:val="none"/>
        </w:rPr>
      </w:pPr>
    </w:p>
    <w:p w14:paraId="103ADD8E">
      <w:pPr>
        <w:pStyle w:val="17"/>
        <w:shd w:val="clear"/>
        <w:rPr>
          <w:rFonts w:hint="eastAsia"/>
          <w:color w:val="auto"/>
          <w:highlight w:val="none"/>
        </w:rPr>
      </w:pPr>
    </w:p>
    <w:p w14:paraId="71F7CA24">
      <w:pPr>
        <w:pStyle w:val="17"/>
        <w:shd w:val="clear"/>
        <w:ind w:left="0" w:leftChars="0" w:firstLine="0" w:firstLineChars="0"/>
        <w:rPr>
          <w:rFonts w:hint="eastAsia"/>
          <w:color w:val="auto"/>
          <w:highlight w:val="none"/>
        </w:rPr>
      </w:pPr>
    </w:p>
    <w:p w14:paraId="4E48A3B3">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20811596">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562B3B58">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6FA6EBBF">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2D4EC959">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7910AD9">
      <w:pPr>
        <w:pStyle w:val="6"/>
        <w:shd w:val="clear"/>
        <w:jc w:val="right"/>
        <w:rPr>
          <w:rFonts w:hint="eastAsia" w:ascii="宋体" w:hAnsi="宋体" w:eastAsia="宋体" w:cs="宋体"/>
          <w:b w:val="0"/>
          <w:bCs w:val="0"/>
          <w:color w:val="auto"/>
          <w:sz w:val="36"/>
          <w:szCs w:val="36"/>
          <w:highlight w:val="none"/>
          <w:u w:val="none"/>
          <w:lang w:val="en-US" w:eastAsia="zh-CN"/>
        </w:rPr>
      </w:pPr>
    </w:p>
    <w:p w14:paraId="2235BAA9">
      <w:pPr>
        <w:pStyle w:val="6"/>
        <w:shd w:val="clear"/>
        <w:jc w:val="right"/>
        <w:rPr>
          <w:rFonts w:hint="eastAsia" w:ascii="宋体" w:hAnsi="宋体" w:eastAsia="宋体" w:cs="宋体"/>
          <w:b w:val="0"/>
          <w:bCs w:val="0"/>
          <w:color w:val="auto"/>
          <w:sz w:val="36"/>
          <w:szCs w:val="36"/>
          <w:highlight w:val="none"/>
          <w:u w:val="none"/>
          <w:lang w:val="en-US" w:eastAsia="zh-CN"/>
        </w:rPr>
      </w:pPr>
    </w:p>
    <w:p w14:paraId="4C62FB12">
      <w:pPr>
        <w:pStyle w:val="6"/>
        <w:shd w:val="clear"/>
        <w:jc w:val="right"/>
        <w:rPr>
          <w:rFonts w:hint="eastAsia" w:ascii="宋体" w:hAnsi="宋体" w:eastAsia="宋体" w:cs="宋体"/>
          <w:b w:val="0"/>
          <w:bCs w:val="0"/>
          <w:color w:val="auto"/>
          <w:sz w:val="36"/>
          <w:szCs w:val="36"/>
          <w:highlight w:val="none"/>
          <w:u w:val="none"/>
          <w:lang w:val="en-US" w:eastAsia="zh-CN"/>
        </w:rPr>
      </w:pPr>
    </w:p>
    <w:p w14:paraId="6AA6C4DA">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1FC27194">
      <w:pPr>
        <w:pStyle w:val="6"/>
        <w:shd w:val="clear"/>
        <w:jc w:val="center"/>
        <w:rPr>
          <w:rFonts w:hint="eastAsia" w:ascii="宋体" w:hAnsi="宋体"/>
          <w:bCs/>
          <w:color w:val="auto"/>
          <w:sz w:val="28"/>
          <w:szCs w:val="28"/>
          <w:highlight w:val="none"/>
        </w:rPr>
      </w:pPr>
    </w:p>
    <w:p w14:paraId="7D009D2B">
      <w:pPr>
        <w:pStyle w:val="6"/>
        <w:shd w:val="clear"/>
        <w:jc w:val="center"/>
        <w:rPr>
          <w:rFonts w:hint="eastAsia" w:ascii="宋体" w:hAnsi="宋体"/>
          <w:bCs/>
          <w:color w:val="auto"/>
          <w:sz w:val="28"/>
          <w:szCs w:val="28"/>
          <w:highlight w:val="none"/>
        </w:rPr>
      </w:pPr>
    </w:p>
    <w:p w14:paraId="0158CE40">
      <w:pPr>
        <w:pStyle w:val="6"/>
        <w:shd w:val="clear"/>
        <w:jc w:val="center"/>
        <w:rPr>
          <w:rFonts w:hint="eastAsia" w:ascii="宋体" w:hAnsi="宋体"/>
          <w:bCs/>
          <w:color w:val="auto"/>
          <w:sz w:val="28"/>
          <w:szCs w:val="28"/>
          <w:highlight w:val="none"/>
        </w:rPr>
      </w:pPr>
    </w:p>
    <w:p w14:paraId="3A25534B">
      <w:pPr>
        <w:pStyle w:val="6"/>
        <w:shd w:val="clear"/>
        <w:jc w:val="center"/>
        <w:rPr>
          <w:rFonts w:hint="eastAsia" w:ascii="宋体" w:hAnsi="宋体"/>
          <w:bCs/>
          <w:color w:val="auto"/>
          <w:sz w:val="28"/>
          <w:szCs w:val="28"/>
          <w:highlight w:val="none"/>
        </w:rPr>
      </w:pPr>
    </w:p>
    <w:p w14:paraId="7060C01D">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54715EB1">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54AB5F1F">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7B61572F">
      <w:pPr>
        <w:pStyle w:val="6"/>
        <w:shd w:val="clear"/>
        <w:rPr>
          <w:rFonts w:hint="eastAsia" w:ascii="宋体" w:hAnsi="宋体" w:eastAsia="宋体" w:cs="宋体"/>
          <w:b/>
          <w:bCs/>
          <w:color w:val="auto"/>
          <w:sz w:val="21"/>
          <w:szCs w:val="21"/>
          <w:highlight w:val="none"/>
        </w:rPr>
      </w:pPr>
    </w:p>
    <w:p w14:paraId="0A0E233B">
      <w:pPr>
        <w:pStyle w:val="6"/>
        <w:shd w:val="clear"/>
        <w:rPr>
          <w:rFonts w:hint="eastAsia" w:ascii="宋体" w:hAnsi="宋体" w:eastAsia="宋体" w:cs="宋体"/>
          <w:b/>
          <w:bCs/>
          <w:color w:val="auto"/>
          <w:sz w:val="21"/>
          <w:szCs w:val="21"/>
          <w:highlight w:val="none"/>
        </w:rPr>
      </w:pPr>
    </w:p>
    <w:p w14:paraId="3F7BD48C">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036A7B79">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1BC69561">
      <w:pPr>
        <w:pStyle w:val="33"/>
        <w:shd w:val="clear"/>
        <w:rPr>
          <w:rFonts w:hint="eastAsia"/>
          <w:color w:val="auto"/>
          <w:highlight w:val="none"/>
        </w:rPr>
      </w:pPr>
    </w:p>
    <w:p w14:paraId="43D108C5">
      <w:pPr>
        <w:pStyle w:val="17"/>
        <w:shd w:val="clear"/>
        <w:rPr>
          <w:rFonts w:hint="eastAsia"/>
          <w:color w:val="auto"/>
          <w:highlight w:val="none"/>
        </w:rPr>
      </w:pPr>
    </w:p>
    <w:p w14:paraId="208C0E7B">
      <w:pPr>
        <w:pStyle w:val="17"/>
        <w:shd w:val="clear"/>
        <w:rPr>
          <w:rFonts w:hint="eastAsia"/>
          <w:color w:val="auto"/>
          <w:highlight w:val="none"/>
        </w:rPr>
      </w:pPr>
    </w:p>
    <w:p w14:paraId="5706C1B1">
      <w:pPr>
        <w:pStyle w:val="17"/>
        <w:shd w:val="clear"/>
        <w:rPr>
          <w:rFonts w:hint="eastAsia"/>
          <w:color w:val="auto"/>
          <w:highlight w:val="none"/>
        </w:rPr>
      </w:pPr>
    </w:p>
    <w:p w14:paraId="623BC97E">
      <w:pPr>
        <w:pStyle w:val="17"/>
        <w:shd w:val="clear"/>
        <w:rPr>
          <w:rFonts w:hint="eastAsia"/>
          <w:color w:val="auto"/>
          <w:highlight w:val="none"/>
        </w:rPr>
      </w:pPr>
    </w:p>
    <w:p w14:paraId="4E53B4C9">
      <w:pPr>
        <w:pStyle w:val="17"/>
        <w:shd w:val="clear"/>
        <w:rPr>
          <w:rFonts w:hint="eastAsia"/>
          <w:color w:val="auto"/>
          <w:highlight w:val="none"/>
        </w:rPr>
      </w:pPr>
    </w:p>
    <w:p w14:paraId="104A4EAF">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6EC7C13C">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663993B0">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58D09103">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69876C92">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1ABC961A">
      <w:pPr>
        <w:pStyle w:val="6"/>
        <w:shd w:val="clear"/>
        <w:rPr>
          <w:rFonts w:hint="eastAsia" w:ascii="楷体" w:hAnsi="楷体" w:eastAsia="楷体" w:cs="楷体"/>
          <w:color w:val="auto"/>
          <w:sz w:val="28"/>
          <w:szCs w:val="28"/>
          <w:highlight w:val="none"/>
        </w:rPr>
      </w:pPr>
    </w:p>
    <w:p w14:paraId="7E2FC729">
      <w:pPr>
        <w:pStyle w:val="6"/>
        <w:shd w:val="clear"/>
        <w:rPr>
          <w:rFonts w:hint="eastAsia" w:ascii="楷体" w:hAnsi="楷体" w:eastAsia="楷体" w:cs="楷体"/>
          <w:color w:val="auto"/>
          <w:sz w:val="28"/>
          <w:szCs w:val="28"/>
          <w:highlight w:val="none"/>
        </w:rPr>
      </w:pPr>
    </w:p>
    <w:p w14:paraId="28D144A0">
      <w:pPr>
        <w:pStyle w:val="6"/>
        <w:shd w:val="clear"/>
        <w:rPr>
          <w:rFonts w:hint="eastAsia" w:ascii="楷体" w:hAnsi="楷体" w:eastAsia="楷体" w:cs="楷体"/>
          <w:color w:val="auto"/>
          <w:sz w:val="28"/>
          <w:szCs w:val="28"/>
          <w:highlight w:val="none"/>
        </w:rPr>
      </w:pPr>
    </w:p>
    <w:p w14:paraId="236D5B24">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06822D3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653F369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39896FE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4CB6759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1FC658B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714EDC3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0AB206B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51180334">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1F14F8B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74668A9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35C2E90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591AECD9">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29BCCF7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640DA388">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4C8C216B">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5B19846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4649C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6AD601AA">
      <w:pPr>
        <w:rPr>
          <w:rFonts w:hint="eastAsia" w:ascii="仿宋" w:hAnsi="仿宋" w:eastAsia="仿宋" w:cs="仿宋"/>
          <w:b w:val="0"/>
          <w:bCs w:val="0"/>
          <w:color w:val="auto"/>
          <w:kern w:val="2"/>
          <w:sz w:val="28"/>
          <w:szCs w:val="28"/>
          <w:highlight w:val="none"/>
          <w:lang w:val="en-US" w:eastAsia="zh-CN" w:bidi="ar"/>
        </w:rPr>
      </w:pPr>
    </w:p>
    <w:p w14:paraId="20C987E6">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二、报价表（参考格式）</w:t>
      </w:r>
    </w:p>
    <w:p w14:paraId="0B18A0B5">
      <w:pPr>
        <w:numPr>
          <w:ilvl w:val="0"/>
          <w:numId w:val="0"/>
        </w:numPr>
        <w:tabs>
          <w:tab w:val="left" w:pos="3981"/>
        </w:tabs>
        <w:ind w:leftChars="0"/>
        <w:jc w:val="both"/>
        <w:rPr>
          <w:rFonts w:hint="eastAsia" w:ascii="宋体" w:hAnsi="宋体" w:eastAsia="宋体"/>
          <w:b/>
          <w:color w:val="auto"/>
          <w:sz w:val="24"/>
          <w:szCs w:val="28"/>
          <w:highlight w:val="none"/>
        </w:rPr>
      </w:pPr>
    </w:p>
    <w:p w14:paraId="21D44449">
      <w:pPr>
        <w:numPr>
          <w:ilvl w:val="0"/>
          <w:numId w:val="0"/>
        </w:numPr>
        <w:tabs>
          <w:tab w:val="left" w:pos="3981"/>
        </w:tabs>
        <w:ind w:leftChars="0"/>
        <w:jc w:val="both"/>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7A26193F">
      <w:pPr>
        <w:numPr>
          <w:ilvl w:val="0"/>
          <w:numId w:val="0"/>
        </w:numPr>
        <w:tabs>
          <w:tab w:val="left" w:pos="3981"/>
        </w:tabs>
        <w:ind w:leftChars="0"/>
        <w:jc w:val="both"/>
        <w:rPr>
          <w:rFonts w:hint="default" w:ascii="宋体" w:hAnsi="宋体" w:eastAsia="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642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1443" w:type="pct"/>
            <w:vMerge w:val="restart"/>
            <w:tcBorders>
              <w:top w:val="single" w:color="auto" w:sz="4" w:space="0"/>
            </w:tcBorders>
            <w:vAlign w:val="center"/>
          </w:tcPr>
          <w:p w14:paraId="585DA1B0">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报价</w:t>
            </w:r>
          </w:p>
          <w:p w14:paraId="2D92E70A">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47AF37F1">
            <w:pPr>
              <w:keepNext w:val="0"/>
              <w:keepLines w:val="0"/>
              <w:suppressLineNumbers w:val="0"/>
              <w:snapToGrid w:val="0"/>
              <w:spacing w:before="0" w:beforeAutospacing="0" w:after="0" w:afterAutospacing="0" w:line="360" w:lineRule="auto"/>
              <w:ind w:left="0" w:right="0"/>
              <w:jc w:val="center"/>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6D7F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4DB50484">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p>
        </w:tc>
        <w:tc>
          <w:tcPr>
            <w:tcW w:w="3556" w:type="pct"/>
            <w:vAlign w:val="center"/>
          </w:tcPr>
          <w:p w14:paraId="0908E50E">
            <w:pPr>
              <w:keepNext w:val="0"/>
              <w:keepLines w:val="0"/>
              <w:suppressLineNumbers w:val="0"/>
              <w:snapToGrid w:val="0"/>
              <w:spacing w:before="0" w:beforeAutospacing="0" w:after="0" w:afterAutospacing="0" w:line="360" w:lineRule="auto"/>
              <w:ind w:left="0" w:right="0" w:firstLine="1200" w:firstLineChars="500"/>
              <w:jc w:val="both"/>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0A57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72853EC">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0E60C32E">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tc>
      </w:tr>
    </w:tbl>
    <w:p w14:paraId="7025EBA5">
      <w:pPr>
        <w:rPr>
          <w:rFonts w:hint="eastAsia" w:ascii="宋体" w:hAnsi="宋体" w:cs="宋体"/>
          <w:color w:val="auto"/>
          <w:highlight w:val="none"/>
        </w:rPr>
      </w:pPr>
    </w:p>
    <w:p w14:paraId="47BBB66D">
      <w:pPr>
        <w:rPr>
          <w:rFonts w:hint="eastAsia" w:ascii="宋体" w:hAnsi="宋体" w:cs="宋体"/>
          <w:color w:val="auto"/>
          <w:highlight w:val="none"/>
        </w:rPr>
      </w:pPr>
    </w:p>
    <w:p w14:paraId="766D9AC9">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宋体" w:hAnsi="宋体" w:cs="宋体"/>
          <w:color w:val="auto"/>
          <w:sz w:val="24"/>
          <w:highlight w:val="none"/>
        </w:rPr>
        <w:t xml:space="preserve">               </w:t>
      </w: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4928008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305EF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68F388E6">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p>
    <w:p w14:paraId="1944496C">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4EEA">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87167F"/>
    <w:rsid w:val="00A17E82"/>
    <w:rsid w:val="016F283F"/>
    <w:rsid w:val="01A544B3"/>
    <w:rsid w:val="01BF00B8"/>
    <w:rsid w:val="01D73D68"/>
    <w:rsid w:val="02482711"/>
    <w:rsid w:val="0298237F"/>
    <w:rsid w:val="02996051"/>
    <w:rsid w:val="02B41DD9"/>
    <w:rsid w:val="02CA596A"/>
    <w:rsid w:val="02D84414"/>
    <w:rsid w:val="03795BF7"/>
    <w:rsid w:val="03D93A8B"/>
    <w:rsid w:val="041B6CAE"/>
    <w:rsid w:val="04395196"/>
    <w:rsid w:val="04B52C5F"/>
    <w:rsid w:val="04B862AB"/>
    <w:rsid w:val="04F12A6A"/>
    <w:rsid w:val="05195543"/>
    <w:rsid w:val="052F5AAA"/>
    <w:rsid w:val="05500BDA"/>
    <w:rsid w:val="056A0FA1"/>
    <w:rsid w:val="05C3315A"/>
    <w:rsid w:val="05F17CC7"/>
    <w:rsid w:val="0672634E"/>
    <w:rsid w:val="06744454"/>
    <w:rsid w:val="069D39AB"/>
    <w:rsid w:val="06E91DAA"/>
    <w:rsid w:val="07D00377"/>
    <w:rsid w:val="07FE47FE"/>
    <w:rsid w:val="08283748"/>
    <w:rsid w:val="08852948"/>
    <w:rsid w:val="08927F10"/>
    <w:rsid w:val="08C11344"/>
    <w:rsid w:val="095C7502"/>
    <w:rsid w:val="09CE776D"/>
    <w:rsid w:val="0A3D172D"/>
    <w:rsid w:val="0A5E78F5"/>
    <w:rsid w:val="0A715781"/>
    <w:rsid w:val="0AD100C7"/>
    <w:rsid w:val="0AD34B42"/>
    <w:rsid w:val="0AFD710E"/>
    <w:rsid w:val="0B2E43FE"/>
    <w:rsid w:val="0B755722"/>
    <w:rsid w:val="0B795AA7"/>
    <w:rsid w:val="0B9A5282"/>
    <w:rsid w:val="0BCB720C"/>
    <w:rsid w:val="0BD77370"/>
    <w:rsid w:val="0BE1520A"/>
    <w:rsid w:val="0D5D17F8"/>
    <w:rsid w:val="0D98311E"/>
    <w:rsid w:val="0DD00650"/>
    <w:rsid w:val="0DF85455"/>
    <w:rsid w:val="0E033D66"/>
    <w:rsid w:val="0E19600D"/>
    <w:rsid w:val="0E7C5AF4"/>
    <w:rsid w:val="0EB07010"/>
    <w:rsid w:val="0ED55C0F"/>
    <w:rsid w:val="0F9145C6"/>
    <w:rsid w:val="10331BD0"/>
    <w:rsid w:val="10334A52"/>
    <w:rsid w:val="10C23744"/>
    <w:rsid w:val="11436D54"/>
    <w:rsid w:val="11441BDD"/>
    <w:rsid w:val="115B693C"/>
    <w:rsid w:val="11E81147"/>
    <w:rsid w:val="11FC011F"/>
    <w:rsid w:val="12503FC7"/>
    <w:rsid w:val="127D3F21"/>
    <w:rsid w:val="12850115"/>
    <w:rsid w:val="12BF3DBD"/>
    <w:rsid w:val="12FD6CD2"/>
    <w:rsid w:val="13144FF5"/>
    <w:rsid w:val="135F761F"/>
    <w:rsid w:val="13A75E69"/>
    <w:rsid w:val="146C01DE"/>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7C1A"/>
    <w:rsid w:val="18381785"/>
    <w:rsid w:val="186E46FE"/>
    <w:rsid w:val="19120228"/>
    <w:rsid w:val="19541F90"/>
    <w:rsid w:val="19671E8B"/>
    <w:rsid w:val="19696C85"/>
    <w:rsid w:val="197E141A"/>
    <w:rsid w:val="1984477C"/>
    <w:rsid w:val="19A94433"/>
    <w:rsid w:val="19B1033A"/>
    <w:rsid w:val="1A2664F0"/>
    <w:rsid w:val="1A4B1C44"/>
    <w:rsid w:val="1A61696C"/>
    <w:rsid w:val="1A7E7BB3"/>
    <w:rsid w:val="1AE8410F"/>
    <w:rsid w:val="1AF00B1E"/>
    <w:rsid w:val="1B2A6A9A"/>
    <w:rsid w:val="1B2D2244"/>
    <w:rsid w:val="1B7529C4"/>
    <w:rsid w:val="1B841F7A"/>
    <w:rsid w:val="1BFA3724"/>
    <w:rsid w:val="1C0B0A3D"/>
    <w:rsid w:val="1C811553"/>
    <w:rsid w:val="1D880AB9"/>
    <w:rsid w:val="1DB408CA"/>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3EC3B24"/>
    <w:rsid w:val="2426102C"/>
    <w:rsid w:val="24A02C63"/>
    <w:rsid w:val="24D42836"/>
    <w:rsid w:val="25551BC9"/>
    <w:rsid w:val="258D673E"/>
    <w:rsid w:val="25A501B3"/>
    <w:rsid w:val="25DF76E4"/>
    <w:rsid w:val="25FE400E"/>
    <w:rsid w:val="260B04D9"/>
    <w:rsid w:val="263712CE"/>
    <w:rsid w:val="26B43257"/>
    <w:rsid w:val="2714105E"/>
    <w:rsid w:val="27182A42"/>
    <w:rsid w:val="276B54D3"/>
    <w:rsid w:val="27B96E8B"/>
    <w:rsid w:val="28516245"/>
    <w:rsid w:val="285E004F"/>
    <w:rsid w:val="286418C3"/>
    <w:rsid w:val="28BC1F5F"/>
    <w:rsid w:val="28DD6A03"/>
    <w:rsid w:val="28FD2068"/>
    <w:rsid w:val="291B4ED7"/>
    <w:rsid w:val="29693AA7"/>
    <w:rsid w:val="298F19EC"/>
    <w:rsid w:val="29B04A21"/>
    <w:rsid w:val="29B53229"/>
    <w:rsid w:val="2A5306A1"/>
    <w:rsid w:val="2A7D4D3C"/>
    <w:rsid w:val="2A9E46C2"/>
    <w:rsid w:val="2AE7294F"/>
    <w:rsid w:val="2AEA2D75"/>
    <w:rsid w:val="2B6B7EFF"/>
    <w:rsid w:val="2B8111D9"/>
    <w:rsid w:val="2B8559E6"/>
    <w:rsid w:val="2BCB7DAA"/>
    <w:rsid w:val="2BD603D4"/>
    <w:rsid w:val="2C0E2AD1"/>
    <w:rsid w:val="2C0E62EF"/>
    <w:rsid w:val="2C3F192C"/>
    <w:rsid w:val="2C8014B7"/>
    <w:rsid w:val="2CD15702"/>
    <w:rsid w:val="2CE51C3C"/>
    <w:rsid w:val="2D8550C0"/>
    <w:rsid w:val="2D966263"/>
    <w:rsid w:val="2DAE2C04"/>
    <w:rsid w:val="2DDE64D3"/>
    <w:rsid w:val="2E0C1AC4"/>
    <w:rsid w:val="2E4B030E"/>
    <w:rsid w:val="2E6A4F85"/>
    <w:rsid w:val="2E8B5B94"/>
    <w:rsid w:val="2F5B1C2E"/>
    <w:rsid w:val="2F6057DD"/>
    <w:rsid w:val="2F7D1879"/>
    <w:rsid w:val="301646C9"/>
    <w:rsid w:val="30185462"/>
    <w:rsid w:val="302A1014"/>
    <w:rsid w:val="30465A15"/>
    <w:rsid w:val="30601421"/>
    <w:rsid w:val="312740EC"/>
    <w:rsid w:val="315C608D"/>
    <w:rsid w:val="31836015"/>
    <w:rsid w:val="318367A7"/>
    <w:rsid w:val="31E8381B"/>
    <w:rsid w:val="31FF798A"/>
    <w:rsid w:val="32603DEE"/>
    <w:rsid w:val="32891103"/>
    <w:rsid w:val="33376F76"/>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97F3F36"/>
    <w:rsid w:val="39A529A1"/>
    <w:rsid w:val="39BD11EE"/>
    <w:rsid w:val="39C54D6C"/>
    <w:rsid w:val="3B3616FD"/>
    <w:rsid w:val="3B632BCB"/>
    <w:rsid w:val="3B831D09"/>
    <w:rsid w:val="3C460065"/>
    <w:rsid w:val="3C667DC0"/>
    <w:rsid w:val="3C694414"/>
    <w:rsid w:val="3C6A5C5B"/>
    <w:rsid w:val="3CA93999"/>
    <w:rsid w:val="3CFB49AC"/>
    <w:rsid w:val="3D65276D"/>
    <w:rsid w:val="3DB12B50"/>
    <w:rsid w:val="3DF16D51"/>
    <w:rsid w:val="3DFD1A92"/>
    <w:rsid w:val="3E2B4042"/>
    <w:rsid w:val="3E342BCE"/>
    <w:rsid w:val="3F312907"/>
    <w:rsid w:val="3F397A0D"/>
    <w:rsid w:val="3F916802"/>
    <w:rsid w:val="3F9966FE"/>
    <w:rsid w:val="3FF36623"/>
    <w:rsid w:val="3FF60844"/>
    <w:rsid w:val="40262DAF"/>
    <w:rsid w:val="40AA6EEC"/>
    <w:rsid w:val="40FB7670"/>
    <w:rsid w:val="40FF1BA6"/>
    <w:rsid w:val="41624818"/>
    <w:rsid w:val="41DA7286"/>
    <w:rsid w:val="41F30C9C"/>
    <w:rsid w:val="420460B1"/>
    <w:rsid w:val="426976B5"/>
    <w:rsid w:val="42C87355"/>
    <w:rsid w:val="430250AC"/>
    <w:rsid w:val="433B01F8"/>
    <w:rsid w:val="439E0787"/>
    <w:rsid w:val="43BF2BD7"/>
    <w:rsid w:val="441F2024"/>
    <w:rsid w:val="442E5A20"/>
    <w:rsid w:val="44496E46"/>
    <w:rsid w:val="44AF18F5"/>
    <w:rsid w:val="44F56185"/>
    <w:rsid w:val="454C36B6"/>
    <w:rsid w:val="454D4085"/>
    <w:rsid w:val="45795008"/>
    <w:rsid w:val="45A3693F"/>
    <w:rsid w:val="45F24C03"/>
    <w:rsid w:val="4636056B"/>
    <w:rsid w:val="464E0242"/>
    <w:rsid w:val="46681314"/>
    <w:rsid w:val="46825D85"/>
    <w:rsid w:val="468574A9"/>
    <w:rsid w:val="46AD1991"/>
    <w:rsid w:val="47003FB3"/>
    <w:rsid w:val="4762534E"/>
    <w:rsid w:val="47A3011A"/>
    <w:rsid w:val="47AE7CDA"/>
    <w:rsid w:val="48210E80"/>
    <w:rsid w:val="482E032B"/>
    <w:rsid w:val="484405B6"/>
    <w:rsid w:val="4860600B"/>
    <w:rsid w:val="48B40105"/>
    <w:rsid w:val="48F55AEB"/>
    <w:rsid w:val="494057CF"/>
    <w:rsid w:val="495B26D1"/>
    <w:rsid w:val="496D09DF"/>
    <w:rsid w:val="498E0956"/>
    <w:rsid w:val="49942DCC"/>
    <w:rsid w:val="49AE1936"/>
    <w:rsid w:val="4A123335"/>
    <w:rsid w:val="4A212A7E"/>
    <w:rsid w:val="4A3151FD"/>
    <w:rsid w:val="4A6022F2"/>
    <w:rsid w:val="4A7D4C52"/>
    <w:rsid w:val="4AC46D25"/>
    <w:rsid w:val="4AD725DB"/>
    <w:rsid w:val="4B15399D"/>
    <w:rsid w:val="4B1D01E3"/>
    <w:rsid w:val="4B390CF8"/>
    <w:rsid w:val="4B3D44AC"/>
    <w:rsid w:val="4BAD67EC"/>
    <w:rsid w:val="4BBC16D9"/>
    <w:rsid w:val="4BE4410C"/>
    <w:rsid w:val="4BFA6FC6"/>
    <w:rsid w:val="4C8543E0"/>
    <w:rsid w:val="4CBF3E20"/>
    <w:rsid w:val="4CE12D0A"/>
    <w:rsid w:val="4D0C5B66"/>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4807EF"/>
    <w:rsid w:val="50610B72"/>
    <w:rsid w:val="507B7E86"/>
    <w:rsid w:val="50CF3D2E"/>
    <w:rsid w:val="51257DF2"/>
    <w:rsid w:val="51382590"/>
    <w:rsid w:val="51413A25"/>
    <w:rsid w:val="51826FF2"/>
    <w:rsid w:val="51B8305D"/>
    <w:rsid w:val="520932E4"/>
    <w:rsid w:val="52195F79"/>
    <w:rsid w:val="524B3888"/>
    <w:rsid w:val="52561DA8"/>
    <w:rsid w:val="5279571D"/>
    <w:rsid w:val="529C3096"/>
    <w:rsid w:val="52C06A01"/>
    <w:rsid w:val="53336043"/>
    <w:rsid w:val="53430A03"/>
    <w:rsid w:val="5348156D"/>
    <w:rsid w:val="534F55FA"/>
    <w:rsid w:val="535C1095"/>
    <w:rsid w:val="53C71634"/>
    <w:rsid w:val="544C6403"/>
    <w:rsid w:val="544D38E7"/>
    <w:rsid w:val="546E1278"/>
    <w:rsid w:val="54921C42"/>
    <w:rsid w:val="54F57592"/>
    <w:rsid w:val="5511700B"/>
    <w:rsid w:val="558E2409"/>
    <w:rsid w:val="559A7000"/>
    <w:rsid w:val="55C67340"/>
    <w:rsid w:val="561F6F5A"/>
    <w:rsid w:val="56372C41"/>
    <w:rsid w:val="570105E4"/>
    <w:rsid w:val="57421056"/>
    <w:rsid w:val="5752559F"/>
    <w:rsid w:val="5781726E"/>
    <w:rsid w:val="578B6887"/>
    <w:rsid w:val="57D31058"/>
    <w:rsid w:val="587C6E4C"/>
    <w:rsid w:val="58A261CC"/>
    <w:rsid w:val="58DC0194"/>
    <w:rsid w:val="58DC6806"/>
    <w:rsid w:val="59014B83"/>
    <w:rsid w:val="591315E1"/>
    <w:rsid w:val="59A32185"/>
    <w:rsid w:val="59E545C2"/>
    <w:rsid w:val="5A1804F3"/>
    <w:rsid w:val="5AC50F31"/>
    <w:rsid w:val="5B254B8D"/>
    <w:rsid w:val="5B4E6197"/>
    <w:rsid w:val="5BB4749D"/>
    <w:rsid w:val="5BD64C6F"/>
    <w:rsid w:val="5C0F1DCA"/>
    <w:rsid w:val="5C2018E1"/>
    <w:rsid w:val="5C6A7000"/>
    <w:rsid w:val="5D7620A7"/>
    <w:rsid w:val="5D932452"/>
    <w:rsid w:val="5E011535"/>
    <w:rsid w:val="5E154E38"/>
    <w:rsid w:val="5E9D5422"/>
    <w:rsid w:val="5ED24F05"/>
    <w:rsid w:val="5F64242D"/>
    <w:rsid w:val="5F724A9F"/>
    <w:rsid w:val="5FD75C28"/>
    <w:rsid w:val="5FE44C8F"/>
    <w:rsid w:val="60362521"/>
    <w:rsid w:val="603A555D"/>
    <w:rsid w:val="605E6E7C"/>
    <w:rsid w:val="607C3C86"/>
    <w:rsid w:val="60A30D33"/>
    <w:rsid w:val="60BA39EE"/>
    <w:rsid w:val="61131A15"/>
    <w:rsid w:val="617C02F0"/>
    <w:rsid w:val="61C21D04"/>
    <w:rsid w:val="61C21E79"/>
    <w:rsid w:val="62015D11"/>
    <w:rsid w:val="621023F8"/>
    <w:rsid w:val="62161A12"/>
    <w:rsid w:val="628F54A8"/>
    <w:rsid w:val="62AC5EF5"/>
    <w:rsid w:val="633A772C"/>
    <w:rsid w:val="63AB687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94440C"/>
    <w:rsid w:val="69995F31"/>
    <w:rsid w:val="699F3A3F"/>
    <w:rsid w:val="69F7703D"/>
    <w:rsid w:val="6A0A1C2C"/>
    <w:rsid w:val="6A5D139E"/>
    <w:rsid w:val="6A6E23B2"/>
    <w:rsid w:val="6AAD1F2F"/>
    <w:rsid w:val="6AC82656"/>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DCF760B"/>
    <w:rsid w:val="6DD02363"/>
    <w:rsid w:val="6E054DDB"/>
    <w:rsid w:val="6E1B14B5"/>
    <w:rsid w:val="6E2C680B"/>
    <w:rsid w:val="6E650CD7"/>
    <w:rsid w:val="6EBC693B"/>
    <w:rsid w:val="6EF300F7"/>
    <w:rsid w:val="6EFD70D0"/>
    <w:rsid w:val="6F3516F0"/>
    <w:rsid w:val="6F3C4D2E"/>
    <w:rsid w:val="6F623DF3"/>
    <w:rsid w:val="70304001"/>
    <w:rsid w:val="705E62C6"/>
    <w:rsid w:val="707158DE"/>
    <w:rsid w:val="70A47577"/>
    <w:rsid w:val="711C1B18"/>
    <w:rsid w:val="719B785F"/>
    <w:rsid w:val="71F413EE"/>
    <w:rsid w:val="72235BB5"/>
    <w:rsid w:val="723005AA"/>
    <w:rsid w:val="72435884"/>
    <w:rsid w:val="72514749"/>
    <w:rsid w:val="725A561D"/>
    <w:rsid w:val="728F494A"/>
    <w:rsid w:val="72CD48A9"/>
    <w:rsid w:val="72DE2B1B"/>
    <w:rsid w:val="72F956A9"/>
    <w:rsid w:val="730353C6"/>
    <w:rsid w:val="73902681"/>
    <w:rsid w:val="73B47AF3"/>
    <w:rsid w:val="744C72C0"/>
    <w:rsid w:val="74783AEF"/>
    <w:rsid w:val="752913AF"/>
    <w:rsid w:val="758903A3"/>
    <w:rsid w:val="75986535"/>
    <w:rsid w:val="759E1D9D"/>
    <w:rsid w:val="761B50B5"/>
    <w:rsid w:val="76254E02"/>
    <w:rsid w:val="764778F5"/>
    <w:rsid w:val="769D2054"/>
    <w:rsid w:val="76C341DB"/>
    <w:rsid w:val="777A2396"/>
    <w:rsid w:val="777E7946"/>
    <w:rsid w:val="77F739E6"/>
    <w:rsid w:val="781B1BEB"/>
    <w:rsid w:val="78411105"/>
    <w:rsid w:val="789D2993"/>
    <w:rsid w:val="78C12795"/>
    <w:rsid w:val="79516337"/>
    <w:rsid w:val="7A8D64C2"/>
    <w:rsid w:val="7AC44859"/>
    <w:rsid w:val="7B1C3157"/>
    <w:rsid w:val="7C025578"/>
    <w:rsid w:val="7C0520B7"/>
    <w:rsid w:val="7CB559C1"/>
    <w:rsid w:val="7DC95F40"/>
    <w:rsid w:val="7DCD0F4A"/>
    <w:rsid w:val="7DF91CE6"/>
    <w:rsid w:val="7DFA4230"/>
    <w:rsid w:val="7E0E1A8A"/>
    <w:rsid w:val="7EF04FE2"/>
    <w:rsid w:val="7F231565"/>
    <w:rsid w:val="7F344C03"/>
    <w:rsid w:val="7F523CFF"/>
    <w:rsid w:val="7F802513"/>
    <w:rsid w:val="FFEFF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unhideWhenUsed/>
    <w:qFormat/>
    <w:uiPriority w:val="99"/>
    <w:pPr>
      <w:snapToGrid w:val="0"/>
    </w:pPr>
    <w:rPr>
      <w:rFonts w:ascii="Arial" w:hAnsi="Arial"/>
    </w:rPr>
  </w:style>
  <w:style w:type="paragraph" w:styleId="9">
    <w:name w:val="Plain Text"/>
    <w:basedOn w:val="1"/>
    <w:unhideWhenUsed/>
    <w:qFormat/>
    <w:uiPriority w:val="99"/>
    <w:rPr>
      <w:rFonts w:ascii="宋体" w:hAnsi="Courier New" w:cs="Courier New"/>
      <w:szCs w:val="21"/>
    </w:rPr>
  </w:style>
  <w:style w:type="paragraph" w:styleId="10">
    <w:name w:val="toc 8"/>
    <w:basedOn w:val="1"/>
    <w:next w:val="1"/>
    <w:unhideWhenUsed/>
    <w:qFormat/>
    <w:uiPriority w:val="39"/>
    <w:pPr>
      <w:ind w:left="1470"/>
      <w:jc w:val="left"/>
    </w:pPr>
    <w:rPr>
      <w:rFonts w:ascii="Calibri" w:hAnsi="Calibri" w:cs="Calibri"/>
      <w:sz w:val="18"/>
      <w:szCs w:val="18"/>
    </w:rPr>
  </w:style>
  <w:style w:type="paragraph" w:styleId="11">
    <w:name w:val="Date"/>
    <w:basedOn w:val="1"/>
    <w:next w:val="1"/>
    <w:qFormat/>
    <w:uiPriority w:val="0"/>
    <w:rPr>
      <w:rFonts w:asciiTheme="minorHAnsi" w:hAnsiTheme="minorHAnsi" w:eastAsiaTheme="minorEastAsia" w:cstheme="minorBidi"/>
      <w:sz w:val="24"/>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6212</Words>
  <Characters>6441</Characters>
  <Lines>0</Lines>
  <Paragraphs>0</Paragraphs>
  <TotalTime>12</TotalTime>
  <ScaleCrop>false</ScaleCrop>
  <LinksUpToDate>false</LinksUpToDate>
  <CharactersWithSpaces>7143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123</cp:lastModifiedBy>
  <cp:lastPrinted>2024-10-08T16:21:00Z</cp:lastPrinted>
  <dcterms:modified xsi:type="dcterms:W3CDTF">2025-10-29T07:54:20Z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1AB39DAF1DF340E3BD11578B5172814E_13</vt:lpwstr>
  </property>
  <property fmtid="{D5CDD505-2E9C-101B-9397-08002B2CF9AE}" pid="4" name="KSOTemplateDocerSaveRecord">
    <vt:lpwstr>eyJoZGlkIjoiMjVhMjBhZTk4MjM4ZjVlNjU2NGE2YjNmMDE1MDM2YWUiLCJ1c2VySWQiOiIxNDY2MDgwODYxIn0=</vt:lpwstr>
  </property>
</Properties>
</file>