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A412">
      <w:pPr>
        <w:shd w:val="clear"/>
        <w:jc w:val="center"/>
        <w:rPr>
          <w:rFonts w:hint="default"/>
          <w:color w:val="auto"/>
          <w:highlight w:val="none"/>
          <w:lang w:val="en-US"/>
        </w:rPr>
      </w:pPr>
      <w:r>
        <w:rPr>
          <w:rFonts w:hint="eastAsia" w:ascii="仿宋_GB2312" w:hAnsi="仿宋_GB2312" w:eastAsia="仿宋_GB2312" w:cs="仿宋_GB2312"/>
          <w:b/>
          <w:bCs/>
          <w:color w:val="auto"/>
          <w:kern w:val="2"/>
          <w:sz w:val="44"/>
          <w:szCs w:val="52"/>
          <w:highlight w:val="none"/>
          <w:lang w:val="en-US" w:eastAsia="zh-CN" w:bidi="ar-SA"/>
        </w:rPr>
        <w:t>桐城医用同位素产业园基础设施项目安全条件评价服务采购项目比选公告</w:t>
      </w:r>
    </w:p>
    <w:p w14:paraId="105F73C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桐城医用同位素产业园基础设施项目安全条件评价服务采购项目</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74630D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4FB6F22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桐城医用同位素产业园基础设施项目安全条件评价服务采购项目</w:t>
      </w:r>
    </w:p>
    <w:p w14:paraId="1054E6E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4EF404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5F6D613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shd w:val="clear" w:color="FFFFFF" w:fill="D9D9D9"/>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.项目概况：本项目主要建设</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同位素药物生产车间、研发中心、仓储设施、公用工程及配套基础设施，从事</w:t>
      </w:r>
      <w:r>
        <w:rPr>
          <w:rFonts w:hint="eastAsia" w:ascii="仿宋_GB2312" w:hAnsi="仿宋_GB2312" w:eastAsia="仿宋_GB2312" w:cs="仿宋_GB2312"/>
          <w:color w:val="auto"/>
          <w:sz w:val="28"/>
          <w:szCs w:val="28"/>
          <w:highlight w:val="none"/>
          <w:lang w:val="en-US" w:eastAsia="zh-CN"/>
        </w:rPr>
        <w:t>医用</w:t>
      </w:r>
      <w:r>
        <w:rPr>
          <w:rFonts w:hint="eastAsia" w:ascii="仿宋_GB2312" w:hAnsi="仿宋_GB2312" w:eastAsia="仿宋_GB2312" w:cs="仿宋_GB2312"/>
          <w:color w:val="auto"/>
          <w:sz w:val="28"/>
          <w:szCs w:val="28"/>
          <w:highlight w:val="none"/>
        </w:rPr>
        <w:t>同位素药物的生产研发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项目生产工艺涉及化学合成、提纯分离等环节，存在化学毒物泄漏、火灾爆炸、机械伤害、高处坠落等安全风险</w:t>
      </w:r>
      <w:r>
        <w:rPr>
          <w:rFonts w:hint="eastAsia" w:ascii="仿宋_GB2312" w:hAnsi="仿宋_GB2312" w:eastAsia="仿宋_GB2312" w:cs="仿宋_GB2312"/>
          <w:color w:val="auto"/>
          <w:sz w:val="28"/>
          <w:szCs w:val="28"/>
          <w:highlight w:val="none"/>
          <w:lang w:val="en-US" w:eastAsia="zh-CN"/>
        </w:rPr>
        <w:t>评估</w:t>
      </w:r>
      <w:r>
        <w:rPr>
          <w:rFonts w:hint="eastAsia" w:ascii="仿宋_GB2312" w:hAnsi="仿宋_GB2312" w:eastAsia="仿宋_GB2312" w:cs="仿宋_GB2312"/>
          <w:color w:val="auto"/>
          <w:sz w:val="28"/>
          <w:szCs w:val="28"/>
          <w:highlight w:val="none"/>
        </w:rPr>
        <w:t>。</w:t>
      </w:r>
    </w:p>
    <w:p w14:paraId="361ED75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0228F56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6.最高限价：17万元</w:t>
      </w:r>
    </w:p>
    <w:p w14:paraId="36F0567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7.招标范围：包括但不限于项目</w:t>
      </w:r>
      <w:bookmarkStart w:id="0" w:name="_GoBack"/>
      <w:bookmarkEnd w:id="0"/>
      <w:r>
        <w:rPr>
          <w:rFonts w:hint="eastAsia" w:ascii="仿宋_GB2312" w:hAnsi="仿宋_GB2312" w:eastAsia="仿宋_GB2312" w:cs="仿宋_GB2312"/>
          <w:color w:val="auto"/>
          <w:sz w:val="28"/>
          <w:szCs w:val="28"/>
          <w:highlight w:val="none"/>
          <w:lang w:val="en-US" w:eastAsia="zh-CN"/>
        </w:rPr>
        <w:t>安全条件评价（含安全风险辨识与评估），编制符合国家及地方相关标准规范的安全条件评价报告，协助采购人通过相关部门的评审验收，并提供后续安全技术咨询等售后服务。</w:t>
      </w:r>
    </w:p>
    <w:p w14:paraId="70E8E36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8.服务期限：自合同签订之日起</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日历天内完成安全条件评价报告的编制并提交评审，评审通过后</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日历天内完成备案相关工作。</w:t>
      </w:r>
    </w:p>
    <w:p w14:paraId="346BDB0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0E9BE61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503703C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1AA610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3.响应人特定资格要求：具有安全条件评价机构资质证书且业务范围涵盖化学品及医药制造业；</w:t>
      </w:r>
    </w:p>
    <w:p w14:paraId="6259B33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4.项目负责人资格要求：拟派项目负责人（编制主持人）具有安全条件评价资格证书；</w:t>
      </w:r>
    </w:p>
    <w:p w14:paraId="5458BA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3E82F2A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0AFF1B79">
      <w:pPr>
        <w:pStyle w:val="7"/>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626ECC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1F03B9B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5AC695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2025年11月3日17时00分前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293F66F9">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29</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日（北京时间）</w:t>
      </w:r>
    </w:p>
    <w:p w14:paraId="5970F268">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569C0AE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3C965AB6">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2025年11月4日09时00分</w:t>
      </w:r>
      <w:r>
        <w:rPr>
          <w:rFonts w:hint="default" w:ascii="仿宋_GB2312" w:hAnsi="仿宋_GB2312" w:eastAsia="仿宋_GB2312" w:cs="仿宋_GB2312"/>
          <w:color w:val="auto"/>
          <w:kern w:val="2"/>
          <w:sz w:val="28"/>
          <w:szCs w:val="28"/>
          <w:highlight w:val="none"/>
          <w:lang w:val="en-US" w:eastAsia="zh-CN" w:bidi="ar-SA"/>
        </w:rPr>
        <w:t>（北京时间）</w:t>
      </w:r>
    </w:p>
    <w:p w14:paraId="0EC36990">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经开区建设投资集团有限公司七</w:t>
      </w:r>
      <w:r>
        <w:rPr>
          <w:rFonts w:hint="default" w:ascii="仿宋_GB2312" w:hAnsi="仿宋_GB2312" w:eastAsia="仿宋_GB2312" w:cs="仿宋_GB2312"/>
          <w:color w:val="auto"/>
          <w:kern w:val="2"/>
          <w:sz w:val="28"/>
          <w:szCs w:val="28"/>
          <w:highlight w:val="none"/>
          <w:lang w:val="en-US" w:eastAsia="zh-CN" w:bidi="ar-SA"/>
        </w:rPr>
        <w:t>楼会议室</w:t>
      </w:r>
    </w:p>
    <w:p w14:paraId="252A2ECD">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1F522EC3">
      <w:pPr>
        <w:pStyle w:val="3"/>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3201755D">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3DF576FC">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5"/>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01D4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7D92CE0">
            <w:pPr>
              <w:pStyle w:val="2"/>
              <w:keepNext w:val="0"/>
              <w:keepLines w:val="0"/>
              <w:suppressLineNumbers w:val="0"/>
              <w:snapToGrid w:val="0"/>
              <w:spacing w:before="0" w:beforeAutospacing="0" w:afterAutospacing="0" w:line="240" w:lineRule="auto"/>
              <w:ind w:left="0" w:right="0"/>
              <w:jc w:val="center"/>
              <w:rPr>
                <w:rFonts w:hint="eastAsia" w:ascii="仿宋_GB2312" w:hAnsi="仿宋_GB2312" w:eastAsia="仿宋_GB2312" w:cs="仿宋_GB2312"/>
                <w:b/>
                <w:bCs/>
                <w:color w:val="auto"/>
                <w:kern w:val="0"/>
                <w:sz w:val="28"/>
                <w:szCs w:val="28"/>
                <w:highlight w:val="none"/>
                <w:vertAlign w:val="baseline"/>
                <w:lang w:val="en-US" w:eastAsia="zh-CN" w:bidi="ar-SA"/>
              </w:rPr>
            </w:pPr>
          </w:p>
          <w:p w14:paraId="35E9EBAA">
            <w:pPr>
              <w:pStyle w:val="2"/>
              <w:keepNext w:val="0"/>
              <w:keepLines w:val="0"/>
              <w:suppressLineNumbers w:val="0"/>
              <w:snapToGrid w:val="0"/>
              <w:spacing w:before="0" w:beforeAutospacing="0" w:afterAutospacing="0" w:line="240" w:lineRule="auto"/>
              <w:ind w:left="0" w:right="0"/>
              <w:jc w:val="center"/>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758245E5">
            <w:pPr>
              <w:pStyle w:val="2"/>
              <w:keepNext w:val="0"/>
              <w:keepLines w:val="0"/>
              <w:suppressLineNumbers w:val="0"/>
              <w:spacing w:before="0" w:beforeAutospacing="0" w:afterAutospacing="0"/>
              <w:ind w:left="0" w:right="0" w:firstLine="281" w:firstLineChars="10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64C01352">
            <w:pPr>
              <w:pStyle w:val="2"/>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1BB615B5">
            <w:pPr>
              <w:pStyle w:val="2"/>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5BFBB762">
            <w:pPr>
              <w:pStyle w:val="2"/>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442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4B7B6E05">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7E5DA796">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6C2A2728">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45A4098F">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78CE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56DE3344">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647BA79E">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3169B9AF">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714C63C2">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5D0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0D491E3A">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75F432B5">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6B83F7C0">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6636EEB6">
            <w:pPr>
              <w:pStyle w:val="2"/>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11291D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733D07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3049447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5E3AAAA6">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1FEF1A1D">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1C7A2AAC">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560B40A9">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755E62F8">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1556084A">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联系人：王工</w:t>
      </w:r>
    </w:p>
    <w:p w14:paraId="69E440AA">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713FFA9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216F48B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1.比选响应人编制比选响应文件、现场考察、递交比选响应文件等比选招标过程中所涉及的招标代理费由比选响应人自己承担。</w:t>
      </w:r>
    </w:p>
    <w:p w14:paraId="7FAA8EF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24AE6E4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2.1本项目最高限价：17万元，超过最高限价的报价无效。</w:t>
      </w:r>
    </w:p>
    <w:p w14:paraId="09DF56A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4454EA0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75ACC51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7B123C6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1B9B859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797E834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0134AAC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32D2C92C">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2395A6D5">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5296D92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78315E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1DD49C6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750BE2C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30A51BE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0F46951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7EA8694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670F419">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55A0028F">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4A89929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02E8CA83">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77046936">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3DF4FA23">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3.付款方式：乙方提交的《安全条件评价报告》通过安庆相关主管部门评审备案并取得正式批复文件后</w:t>
      </w:r>
      <w:r>
        <w:rPr>
          <w:rFonts w:hint="eastAsia" w:ascii="仿宋_GB2312" w:hAnsi="仿宋_GB2312" w:eastAsia="仿宋_GB2312" w:cs="仿宋_GB2312"/>
          <w:color w:val="auto"/>
          <w:kern w:val="0"/>
          <w:sz w:val="28"/>
          <w:szCs w:val="28"/>
          <w:highlight w:val="none"/>
          <w:u w:val="single"/>
          <w:lang w:val="en-US" w:eastAsia="zh-CN" w:bidi="ar-SA"/>
        </w:rPr>
        <w:t xml:space="preserve"> 7 </w:t>
      </w:r>
      <w:r>
        <w:rPr>
          <w:rFonts w:hint="eastAsia" w:ascii="仿宋_GB2312" w:hAnsi="仿宋_GB2312" w:eastAsia="仿宋_GB2312" w:cs="仿宋_GB2312"/>
          <w:color w:val="auto"/>
          <w:kern w:val="0"/>
          <w:sz w:val="28"/>
          <w:szCs w:val="28"/>
          <w:highlight w:val="none"/>
          <w:u w:val="none"/>
          <w:lang w:val="en-US" w:eastAsia="zh-CN" w:bidi="ar-SA"/>
        </w:rPr>
        <w:t>个日历天内，甲方一次性支付全部合同款项。</w:t>
      </w:r>
    </w:p>
    <w:p w14:paraId="7C9FDFAF"/>
    <w:p w14:paraId="453AFD12"/>
    <w:p w14:paraId="68C3F858"/>
    <w:p w14:paraId="7D3DA376">
      <w:pPr>
        <w:jc w:val="righ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桐城市新兴产业建设发展有限公司</w:t>
      </w:r>
    </w:p>
    <w:p w14:paraId="1A2248ED">
      <w:pPr>
        <w:jc w:val="righ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2025年10月29日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64C87"/>
    <w:rsid w:val="58705731"/>
    <w:rsid w:val="6EF64C5E"/>
    <w:rsid w:val="7E4614EA"/>
    <w:rsid w:val="FB5DF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line="240" w:lineRule="auto"/>
    </w:pPr>
    <w:rPr>
      <w:rFonts w:asciiTheme="minorHAnsi" w:hAnsiTheme="minorHAnsi" w:eastAsiaTheme="minorEastAsia" w:cstheme="minorBid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2899</Words>
  <Characters>3086</Characters>
  <Lines>0</Lines>
  <Paragraphs>0</Paragraphs>
  <TotalTime>6</TotalTime>
  <ScaleCrop>false</ScaleCrop>
  <LinksUpToDate>false</LinksUpToDate>
  <CharactersWithSpaces>3095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2025-10-28T09:36:00Z</dcterms:created>
  <dc:creator>Administrator</dc:creator>
  <cp:lastModifiedBy>123</cp:lastModifiedBy>
  <dcterms:modified xsi:type="dcterms:W3CDTF">2025-10-29T07:51:33Z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eyJoZGlkIjoiMjVhMjBhZTk4MjM4ZjVlNjU2NGE2YjNmMDE1MDM2YWUiLCJ1c2VySWQiOiIxNDY2MDgwODYxIn0=</vt:lpwstr>
  </property>
  <property fmtid="{D5CDD505-2E9C-101B-9397-08002B2CF9AE}" pid="4" name="ICV">
    <vt:lpwstr>49CC95955BC3477CA45AC34C2A631BE0_13</vt:lpwstr>
  </property>
</Properties>
</file>