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rPr>
          <w:rFonts w:hint="eastAsia" w:ascii="宋体" w:hAnsi="宋体" w:eastAsia="宋体" w:cs="宋体"/>
          <w:sz w:val="30"/>
          <w:szCs w:val="30"/>
        </w:rPr>
      </w:pPr>
    </w:p>
    <w:p w14:paraId="3E871D5D">
      <w:pPr>
        <w:jc w:val="center"/>
        <w:rPr>
          <w:rFonts w:hint="eastAsia" w:ascii="宋体" w:hAnsi="宋体" w:eastAsia="宋体" w:cs="宋体"/>
          <w:sz w:val="30"/>
          <w:szCs w:val="30"/>
        </w:rPr>
      </w:pPr>
      <w:r>
        <w:rPr>
          <w:rFonts w:hint="eastAsia" w:ascii="华文中宋" w:hAnsi="华文中宋" w:eastAsia="华文中宋" w:cs="华文中宋"/>
          <w:b/>
          <w:bCs/>
          <w:sz w:val="48"/>
          <w:szCs w:val="48"/>
          <w:lang w:val="en-US" w:eastAsia="zh-CN"/>
        </w:rPr>
        <w:t>安庆桐城化工园区（稳定同位素产业园）-同祥北路延伸段工程路灯及红绿灯杆专业分包</w:t>
      </w:r>
      <w:r>
        <w:rPr>
          <w:rFonts w:hint="eastAsia" w:ascii="华文中宋" w:hAnsi="华文中宋" w:eastAsia="华文中宋" w:cs="华文中宋"/>
          <w:b/>
          <w:bCs/>
          <w:sz w:val="48"/>
          <w:szCs w:val="48"/>
        </w:rPr>
        <w:t>竞价文件</w:t>
      </w:r>
    </w:p>
    <w:p w14:paraId="75B4C5A3">
      <w:pPr>
        <w:rPr>
          <w:rFonts w:hint="eastAsia" w:ascii="宋体" w:hAnsi="宋体" w:eastAsia="宋体" w:cs="宋体"/>
          <w:sz w:val="30"/>
          <w:szCs w:val="30"/>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ind w:firstLine="600" w:firstLineChars="200"/>
        <w:rPr>
          <w:rFonts w:hint="eastAsia" w:ascii="宋体" w:hAnsi="宋体" w:eastAsia="宋体" w:cs="宋体"/>
          <w:sz w:val="30"/>
          <w:szCs w:val="30"/>
        </w:rPr>
      </w:pPr>
    </w:p>
    <w:p w14:paraId="66CB4F02">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default" w:ascii="宋体" w:hAnsi="宋体" w:eastAsia="宋体" w:cs="宋体"/>
          <w:color w:val="000000" w:themeColor="text1"/>
          <w:sz w:val="30"/>
          <w:szCs w:val="30"/>
          <w:u w:val="single"/>
          <w:lang w:val="en-US" w:eastAsia="zh-CN"/>
          <w14:textFill>
            <w14:solidFill>
              <w14:schemeClr w14:val="tx1"/>
            </w14:solidFill>
          </w14:textFill>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 xml:space="preserve"> </w:t>
      </w:r>
      <w:r>
        <w:rPr>
          <w:rFonts w:hint="eastAsia" w:ascii="宋体" w:hAnsi="宋体" w:eastAsia="宋体" w:cs="宋体"/>
          <w:sz w:val="30"/>
          <w:szCs w:val="30"/>
          <w:u w:val="single"/>
          <w:lang w:val="en-US" w:eastAsia="zh-CN"/>
        </w:rPr>
        <w:t xml:space="preserve"> JKQJT-2025051</w:t>
      </w:r>
    </w:p>
    <w:p w14:paraId="79FBC261">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eastAsia" w:ascii="宋体" w:hAnsi="宋体" w:eastAsia="宋体" w:cs="宋体"/>
          <w:sz w:val="30"/>
          <w:szCs w:val="30"/>
          <w:u w:val="single"/>
        </w:rPr>
      </w:pPr>
      <w:r>
        <w:rPr>
          <w:rFonts w:hint="eastAsia" w:ascii="宋体" w:hAnsi="宋体" w:eastAsia="宋体" w:cs="宋体"/>
          <w:sz w:val="30"/>
          <w:szCs w:val="30"/>
          <w:lang w:eastAsia="zh-CN"/>
        </w:rPr>
        <w:t>招标单位：</w:t>
      </w:r>
      <w:r>
        <w:rPr>
          <w:rFonts w:hint="eastAsia" w:ascii="宋体" w:hAnsi="宋体" w:eastAsia="宋体" w:cs="宋体"/>
          <w:sz w:val="30"/>
          <w:szCs w:val="30"/>
          <w:u w:val="single"/>
          <w:lang w:eastAsia="zh-CN"/>
        </w:rPr>
        <w:t>桐城</w:t>
      </w:r>
      <w:r>
        <w:rPr>
          <w:rFonts w:hint="eastAsia" w:ascii="宋体" w:hAnsi="宋体" w:eastAsia="宋体" w:cs="宋体"/>
          <w:sz w:val="30"/>
          <w:szCs w:val="30"/>
          <w:u w:val="single"/>
          <w:lang w:val="en-US" w:eastAsia="zh-CN"/>
        </w:rPr>
        <w:t>市天正控股集团</w:t>
      </w:r>
      <w:r>
        <w:rPr>
          <w:rFonts w:hint="eastAsia" w:ascii="宋体" w:hAnsi="宋体" w:eastAsia="宋体" w:cs="宋体"/>
          <w:sz w:val="30"/>
          <w:szCs w:val="30"/>
          <w:u w:val="single"/>
          <w:lang w:eastAsia="zh-CN"/>
        </w:rPr>
        <w:t>有限公司</w:t>
      </w:r>
      <w:r>
        <w:rPr>
          <w:rFonts w:hint="eastAsia" w:ascii="宋体" w:hAnsi="宋体" w:eastAsia="宋体" w:cs="宋体"/>
          <w:sz w:val="30"/>
          <w:szCs w:val="30"/>
          <w:u w:val="single"/>
        </w:rPr>
        <w:t>(单位公章)</w:t>
      </w:r>
    </w:p>
    <w:p w14:paraId="499F1B94">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代理机构</w:t>
      </w:r>
      <w:r>
        <w:rPr>
          <w:rFonts w:hint="eastAsia" w:ascii="宋体" w:hAnsi="宋体" w:eastAsia="宋体" w:cs="宋体"/>
          <w:sz w:val="30"/>
          <w:szCs w:val="30"/>
          <w:lang w:eastAsia="zh-CN"/>
        </w:rPr>
        <w:t>：</w:t>
      </w:r>
      <w:r>
        <w:rPr>
          <w:rFonts w:hint="eastAsia" w:ascii="宋体" w:hAnsi="宋体" w:eastAsia="宋体" w:cs="宋体"/>
          <w:sz w:val="30"/>
          <w:szCs w:val="30"/>
          <w:u w:val="single"/>
        </w:rPr>
        <w:t>桐城经开区建投集团招投标办公室(单位公章)</w:t>
      </w:r>
    </w:p>
    <w:p w14:paraId="22A9CA5E">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2025</w:t>
      </w:r>
      <w:r>
        <w:rPr>
          <w:rFonts w:hint="eastAsia" w:ascii="宋体" w:hAnsi="宋体" w:eastAsia="宋体" w:cs="宋体"/>
          <w:sz w:val="30"/>
          <w:szCs w:val="30"/>
        </w:rPr>
        <w:t>年</w:t>
      </w:r>
      <w:r>
        <w:rPr>
          <w:rFonts w:hint="eastAsia" w:ascii="宋体" w:hAnsi="宋体" w:eastAsia="宋体" w:cs="宋体"/>
          <w:sz w:val="30"/>
          <w:szCs w:val="30"/>
          <w:lang w:val="en-US" w:eastAsia="zh-CN"/>
        </w:rPr>
        <w:t>11</w:t>
      </w:r>
      <w:r>
        <w:rPr>
          <w:rFonts w:hint="eastAsia" w:ascii="宋体" w:hAnsi="宋体" w:eastAsia="宋体" w:cs="宋体"/>
          <w:sz w:val="30"/>
          <w:szCs w:val="30"/>
        </w:rPr>
        <w:t>月</w:t>
      </w:r>
      <w:r>
        <w:rPr>
          <w:rFonts w:hint="eastAsia" w:ascii="宋体" w:hAnsi="宋体" w:eastAsia="宋体" w:cs="宋体"/>
          <w:sz w:val="30"/>
          <w:szCs w:val="30"/>
          <w:lang w:val="en-US" w:eastAsia="zh-CN"/>
        </w:rPr>
        <w:t>5</w:t>
      </w:r>
      <w:r>
        <w:rPr>
          <w:rFonts w:hint="eastAsia" w:ascii="宋体" w:hAnsi="宋体" w:eastAsia="宋体" w:cs="宋体"/>
          <w:sz w:val="30"/>
          <w:szCs w:val="30"/>
        </w:rPr>
        <w:t>日</w:t>
      </w:r>
    </w:p>
    <w:p w14:paraId="4CD2B889">
      <w:pPr>
        <w:rPr>
          <w:rFonts w:hint="eastAsia" w:ascii="宋体" w:hAnsi="宋体" w:eastAsia="宋体" w:cs="宋体"/>
          <w:sz w:val="30"/>
          <w:szCs w:val="30"/>
        </w:rPr>
      </w:pPr>
    </w:p>
    <w:p w14:paraId="5BB60B99">
      <w:pPr>
        <w:rPr>
          <w:rFonts w:hint="eastAsia" w:ascii="宋体" w:hAnsi="宋体" w:eastAsia="宋体" w:cs="宋体"/>
          <w:sz w:val="30"/>
          <w:szCs w:val="30"/>
        </w:rPr>
      </w:pPr>
    </w:p>
    <w:p w14:paraId="74239CC8">
      <w:pPr>
        <w:rPr>
          <w:rFonts w:hint="eastAsia" w:ascii="宋体" w:hAnsi="宋体" w:eastAsia="宋体" w:cs="宋体"/>
          <w:sz w:val="30"/>
          <w:szCs w:val="30"/>
        </w:rPr>
      </w:pPr>
    </w:p>
    <w:p w14:paraId="37E1D711">
      <w:pPr>
        <w:rPr>
          <w:rFonts w:hint="eastAsia" w:ascii="宋体" w:hAnsi="宋体" w:eastAsia="宋体" w:cs="宋体"/>
          <w:sz w:val="30"/>
          <w:szCs w:val="30"/>
        </w:rPr>
      </w:pPr>
    </w:p>
    <w:p w14:paraId="4A261870">
      <w:pPr>
        <w:jc w:val="center"/>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2B8C58D1">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第一章 竟价公告</w:t>
      </w:r>
    </w:p>
    <w:p w14:paraId="23A18F45">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第二章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投标单位</w:t>
      </w:r>
      <w:r>
        <w:rPr>
          <w:rFonts w:hint="eastAsia" w:ascii="宋体" w:hAnsi="宋体" w:eastAsia="宋体" w:cs="宋体"/>
          <w:sz w:val="30"/>
          <w:szCs w:val="30"/>
        </w:rPr>
        <w:t>须知</w:t>
      </w:r>
    </w:p>
    <w:p w14:paraId="016036F1">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第三章 </w:t>
      </w:r>
      <w:r>
        <w:rPr>
          <w:rFonts w:hint="eastAsia" w:ascii="宋体" w:hAnsi="宋体" w:eastAsia="宋体" w:cs="宋体"/>
          <w:sz w:val="30"/>
          <w:szCs w:val="30"/>
          <w:lang w:val="en-US" w:eastAsia="zh-CN"/>
        </w:rPr>
        <w:t>招标单位</w:t>
      </w:r>
      <w:r>
        <w:rPr>
          <w:rFonts w:hint="eastAsia" w:ascii="宋体" w:hAnsi="宋体" w:eastAsia="宋体" w:cs="宋体"/>
          <w:sz w:val="30"/>
          <w:szCs w:val="30"/>
        </w:rPr>
        <w:t>需求</w:t>
      </w:r>
    </w:p>
    <w:p w14:paraId="4EAD03B2">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第四章 </w:t>
      </w:r>
      <w:r>
        <w:rPr>
          <w:rFonts w:hint="eastAsia" w:ascii="宋体" w:hAnsi="宋体" w:eastAsia="宋体" w:cs="宋体"/>
          <w:sz w:val="30"/>
          <w:szCs w:val="30"/>
          <w:lang w:val="en-US" w:eastAsia="zh-CN"/>
        </w:rPr>
        <w:t>施工</w:t>
      </w:r>
      <w:r>
        <w:rPr>
          <w:rFonts w:hint="eastAsia" w:ascii="宋体" w:hAnsi="宋体" w:eastAsia="宋体" w:cs="宋体"/>
          <w:sz w:val="30"/>
          <w:szCs w:val="30"/>
        </w:rPr>
        <w:t>合同</w:t>
      </w:r>
    </w:p>
    <w:p w14:paraId="0E14756D">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第五章 竟价响应文件格式</w:t>
      </w:r>
    </w:p>
    <w:p w14:paraId="213919ED">
      <w:pPr>
        <w:rPr>
          <w:rFonts w:hint="eastAsia" w:ascii="宋体" w:hAnsi="宋体" w:eastAsia="宋体" w:cs="宋体"/>
          <w:sz w:val="30"/>
          <w:szCs w:val="30"/>
        </w:rPr>
      </w:pPr>
    </w:p>
    <w:p w14:paraId="2F54E43D">
      <w:pPr>
        <w:rPr>
          <w:rFonts w:hint="eastAsia" w:ascii="宋体" w:hAnsi="宋体" w:eastAsia="宋体" w:cs="宋体"/>
          <w:sz w:val="30"/>
          <w:szCs w:val="30"/>
        </w:rPr>
      </w:pPr>
    </w:p>
    <w:p w14:paraId="0692A4A4">
      <w:pPr>
        <w:rPr>
          <w:rFonts w:hint="eastAsia" w:ascii="宋体" w:hAnsi="宋体" w:eastAsia="宋体" w:cs="宋体"/>
          <w:sz w:val="30"/>
          <w:szCs w:val="30"/>
        </w:rPr>
      </w:pPr>
    </w:p>
    <w:p w14:paraId="435AA649">
      <w:pPr>
        <w:rPr>
          <w:rFonts w:hint="eastAsia" w:ascii="宋体" w:hAnsi="宋体" w:eastAsia="宋体" w:cs="宋体"/>
          <w:sz w:val="30"/>
          <w:szCs w:val="30"/>
        </w:rPr>
      </w:pPr>
    </w:p>
    <w:p w14:paraId="7A9422DF">
      <w:pPr>
        <w:rPr>
          <w:rFonts w:hint="eastAsia" w:ascii="宋体" w:hAnsi="宋体" w:eastAsia="宋体" w:cs="宋体"/>
          <w:sz w:val="30"/>
          <w:szCs w:val="30"/>
        </w:rPr>
      </w:pPr>
    </w:p>
    <w:p w14:paraId="5279BA5E">
      <w:pPr>
        <w:rPr>
          <w:rFonts w:hint="eastAsia" w:ascii="宋体" w:hAnsi="宋体" w:eastAsia="宋体" w:cs="宋体"/>
          <w:sz w:val="30"/>
          <w:szCs w:val="30"/>
        </w:rPr>
      </w:pPr>
    </w:p>
    <w:p w14:paraId="766B7465">
      <w:pPr>
        <w:rPr>
          <w:rFonts w:hint="eastAsia" w:ascii="宋体" w:hAnsi="宋体" w:eastAsia="宋体" w:cs="宋体"/>
          <w:sz w:val="30"/>
          <w:szCs w:val="30"/>
        </w:rPr>
      </w:pPr>
    </w:p>
    <w:p w14:paraId="6DF07303">
      <w:pPr>
        <w:rPr>
          <w:rFonts w:hint="eastAsia" w:ascii="宋体" w:hAnsi="宋体" w:eastAsia="宋体" w:cs="宋体"/>
          <w:sz w:val="30"/>
          <w:szCs w:val="30"/>
        </w:rPr>
      </w:pPr>
    </w:p>
    <w:p w14:paraId="0B37FD15">
      <w:pPr>
        <w:rPr>
          <w:rFonts w:hint="eastAsia" w:ascii="宋体" w:hAnsi="宋体" w:eastAsia="宋体" w:cs="宋体"/>
          <w:sz w:val="30"/>
          <w:szCs w:val="30"/>
        </w:rPr>
      </w:pPr>
    </w:p>
    <w:p w14:paraId="780AEACB">
      <w:pPr>
        <w:rPr>
          <w:rFonts w:hint="eastAsia" w:ascii="宋体" w:hAnsi="宋体" w:eastAsia="宋体" w:cs="宋体"/>
          <w:sz w:val="30"/>
          <w:szCs w:val="30"/>
        </w:rPr>
      </w:pPr>
    </w:p>
    <w:p w14:paraId="7099BFCA">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rPr>
        <w:t>竟价公告</w:t>
      </w:r>
    </w:p>
    <w:p w14:paraId="19C9660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5B0EC417">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u w:val="none"/>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安庆桐城化工园区（稳定同位素产业园）-同祥北路延伸段工程路灯及红绿灯杆专业分包</w:t>
      </w:r>
    </w:p>
    <w:p w14:paraId="1E5A3B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0"/>
          <w:szCs w:val="30"/>
          <w:u w:val="single"/>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b/>
          <w:bCs/>
          <w:sz w:val="30"/>
          <w:szCs w:val="30"/>
          <w:u w:val="single"/>
          <w:lang w:val="en-US" w:eastAsia="zh-CN"/>
        </w:rPr>
        <w:t>JKQJT-2025051</w:t>
      </w:r>
    </w:p>
    <w:p w14:paraId="764C875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val="en-US" w:eastAsia="zh-CN"/>
        </w:rPr>
      </w:pPr>
      <w:r>
        <w:rPr>
          <w:rFonts w:hint="eastAsia" w:ascii="宋体" w:hAnsi="宋体" w:eastAsia="宋体" w:cs="宋体"/>
          <w:sz w:val="28"/>
          <w:szCs w:val="28"/>
          <w:u w:val="none"/>
          <w:lang w:val="en-US" w:eastAsia="zh-CN"/>
        </w:rPr>
        <w:t>项目批准文号：根据桐开建投委办秘2025（7）次会议纪要内容，安庆桐城化工园区（稳定同位素产业园）-同祥北路延伸段工程路灯及红绿灯杆专业分包由桐城市天正控股集团有限公司采用竞价方式进行竞价，择优选定施工单位。</w:t>
      </w:r>
      <w:r>
        <w:rPr>
          <w:rFonts w:hint="eastAsia" w:ascii="宋体" w:hAnsi="宋体" w:eastAsia="宋体" w:cs="宋体"/>
          <w:sz w:val="28"/>
          <w:szCs w:val="28"/>
          <w:lang w:val="en-US" w:eastAsia="zh-CN"/>
        </w:rPr>
        <w:t xml:space="preserve">   </w:t>
      </w:r>
      <w:bookmarkStart w:id="34" w:name="_GoBack"/>
      <w:bookmarkEnd w:id="34"/>
    </w:p>
    <w:p w14:paraId="034747C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val="en-US" w:eastAsia="zh-CN"/>
        </w:rPr>
      </w:pPr>
      <w:r>
        <w:rPr>
          <w:rFonts w:hint="eastAsia" w:ascii="宋体" w:hAnsi="宋体" w:eastAsia="宋体" w:cs="宋体"/>
          <w:b/>
          <w:bCs/>
          <w:sz w:val="28"/>
          <w:szCs w:val="28"/>
          <w:lang w:val="en-US" w:eastAsia="zh-CN"/>
        </w:rPr>
        <w:t>招标单位</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桐城市天正控股集团有限公司</w:t>
      </w:r>
    </w:p>
    <w:p w14:paraId="7A12D0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企业自筹资金</w:t>
      </w:r>
    </w:p>
    <w:p w14:paraId="3C7E78D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电力电缆铺设、12米+10米路灯安装、15米中杆路灯安装、路名牌标杆、分道标志、分道标志杆、指路标志、指路标志杆、车行信号灯标杆、电子警察标杆等。具体规格及尺寸见施工图纸。</w:t>
      </w:r>
    </w:p>
    <w:p w14:paraId="7A5C89C9">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项目最高控制价：</w:t>
      </w:r>
      <w:r>
        <w:rPr>
          <w:rFonts w:hint="eastAsia" w:ascii="宋体" w:hAnsi="宋体" w:eastAsia="宋体" w:cs="宋体"/>
          <w:b/>
          <w:bCs/>
          <w:sz w:val="28"/>
          <w:szCs w:val="28"/>
          <w:lang w:val="en-US" w:eastAsia="zh-CN"/>
        </w:rPr>
        <w:t>121721元（预算价143201.43元下浮15%后计）。具体见预算清单，最终结算以实际完成量。工期20天。</w:t>
      </w:r>
    </w:p>
    <w:p w14:paraId="10EF274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2BA0AA2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需具有合法的营业执照，独立的法人资格，具备建筑机电安装工程或市政工程施工总承包三级以上含三级，有效期内的安全生产许可证。</w:t>
      </w:r>
    </w:p>
    <w:p w14:paraId="2661F8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eastAsiaTheme="minorEastAsia"/>
          <w:sz w:val="28"/>
          <w:szCs w:val="28"/>
          <w:u w:val="none"/>
        </w:rPr>
        <w:t>投标企业</w:t>
      </w:r>
      <w:r>
        <w:rPr>
          <w:rFonts w:ascii="宋体" w:hAnsi="宋体" w:eastAsiaTheme="minorEastAsia"/>
          <w:sz w:val="28"/>
          <w:szCs w:val="28"/>
          <w:u w:val="none"/>
        </w:rPr>
        <w:t>未处于被责令停业、投标资格被取消或</w:t>
      </w:r>
      <w:r>
        <w:rPr>
          <w:rFonts w:hint="eastAsia" w:ascii="宋体" w:hAnsi="宋体" w:eastAsiaTheme="minorEastAsia"/>
          <w:sz w:val="28"/>
          <w:szCs w:val="28"/>
          <w:u w:val="none"/>
          <w:lang w:val="en-US" w:eastAsia="zh-CN"/>
        </w:rPr>
        <w:t>财务</w:t>
      </w:r>
      <w:r>
        <w:rPr>
          <w:rFonts w:ascii="宋体" w:hAnsi="宋体" w:eastAsiaTheme="minorEastAsia"/>
          <w:sz w:val="28"/>
          <w:szCs w:val="28"/>
          <w:u w:val="none"/>
        </w:rPr>
        <w:t>被接管、冻结和破产状态</w:t>
      </w:r>
      <w:r>
        <w:rPr>
          <w:rFonts w:hint="eastAsia" w:ascii="宋体" w:hAnsi="宋体"/>
          <w:sz w:val="28"/>
          <w:szCs w:val="28"/>
          <w:u w:val="none"/>
          <w:lang w:eastAsia="zh-CN"/>
        </w:rPr>
        <w:t>。</w:t>
      </w:r>
    </w:p>
    <w:p w14:paraId="40D065C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 xml:space="preserve">无。 </w:t>
      </w:r>
      <w:r>
        <w:rPr>
          <w:rFonts w:hint="eastAsia" w:ascii="宋体" w:hAnsi="宋体" w:eastAsia="宋体" w:cs="宋体"/>
          <w:sz w:val="28"/>
          <w:szCs w:val="28"/>
          <w:lang w:val="en-US" w:eastAsia="zh-CN"/>
        </w:rPr>
        <w:t xml:space="preserve"> </w:t>
      </w:r>
    </w:p>
    <w:p w14:paraId="00CD8F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eastAsiaTheme="minorEastAsia"/>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w:t>
      </w:r>
      <w:r>
        <w:rPr>
          <w:rFonts w:hint="eastAsia" w:ascii="宋体" w:hAnsi="宋体"/>
          <w:sz w:val="28"/>
          <w:szCs w:val="28"/>
          <w:lang w:val="en-US" w:eastAsia="zh-CN"/>
        </w:rPr>
        <w:t>或产品存在</w:t>
      </w:r>
      <w:r>
        <w:rPr>
          <w:rFonts w:ascii="宋体" w:hAnsi="宋体"/>
          <w:sz w:val="28"/>
          <w:szCs w:val="28"/>
        </w:rPr>
        <w:t>质量、安全事故等问题，被有关部门暂停投标资格并在暂停期内的</w:t>
      </w:r>
      <w:r>
        <w:rPr>
          <w:rFonts w:hint="eastAsia" w:ascii="宋体" w:hAnsi="宋体"/>
          <w:sz w:val="28"/>
          <w:szCs w:val="28"/>
          <w:lang w:eastAsia="zh-CN"/>
        </w:rPr>
        <w:t>。</w:t>
      </w:r>
    </w:p>
    <w:p w14:paraId="6FB3BDE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无</w:t>
      </w:r>
      <w:r>
        <w:rPr>
          <w:rFonts w:hint="eastAsia" w:ascii="宋体" w:hAnsi="宋体" w:eastAsia="宋体" w:cs="宋体"/>
          <w:sz w:val="28"/>
          <w:szCs w:val="28"/>
          <w:lang w:eastAsia="zh-CN"/>
        </w:rPr>
        <w:t>；</w:t>
      </w:r>
    </w:p>
    <w:p w14:paraId="4323DCB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56246CE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sym w:font="Wingdings 2" w:char="00A3"/>
      </w:r>
      <w:r>
        <w:rPr>
          <w:rFonts w:hint="eastAsia" w:ascii="宋体" w:hAnsi="宋体" w:eastAsia="宋体" w:cs="宋体"/>
          <w:sz w:val="28"/>
          <w:szCs w:val="28"/>
          <w:lang w:val="en-US" w:eastAsia="zh-CN"/>
        </w:rPr>
        <w:t xml:space="preserve">接受   </w:t>
      </w:r>
      <w:r>
        <w:rPr>
          <w:rFonts w:hint="eastAsia" w:ascii="宋体" w:hAnsi="宋体" w:eastAsia="宋体" w:cs="宋体"/>
          <w:sz w:val="28"/>
          <w:szCs w:val="28"/>
          <w:lang w:val="en-US" w:eastAsia="zh-CN"/>
        </w:rPr>
        <w:sym w:font="Wingdings 2" w:char="0052"/>
      </w:r>
      <w:r>
        <w:rPr>
          <w:rFonts w:hint="eastAsia" w:ascii="宋体" w:hAnsi="宋体" w:eastAsia="宋体" w:cs="宋体"/>
          <w:sz w:val="28"/>
          <w:szCs w:val="28"/>
          <w:lang w:val="en-US" w:eastAsia="zh-CN"/>
        </w:rPr>
        <w:t>不接受</w:t>
      </w:r>
    </w:p>
    <w:p w14:paraId="4603157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组成联合体的</w:t>
      </w:r>
      <w:r>
        <w:rPr>
          <w:rFonts w:hint="eastAsia" w:ascii="宋体" w:hAnsi="宋体" w:eastAsia="宋体" w:cs="宋体"/>
          <w:sz w:val="28"/>
          <w:szCs w:val="28"/>
          <w:lang w:eastAsia="zh-CN"/>
        </w:rPr>
        <w:t>，</w:t>
      </w:r>
      <w:r>
        <w:rPr>
          <w:rFonts w:hint="eastAsia" w:ascii="宋体" w:hAnsi="宋体" w:eastAsia="宋体" w:cs="宋体"/>
          <w:sz w:val="28"/>
          <w:szCs w:val="28"/>
        </w:rPr>
        <w:t>应满足下列要求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4A59F31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01464C9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5</w:t>
      </w:r>
      <w:r>
        <w:rPr>
          <w:rFonts w:hint="eastAsia" w:ascii="宋体" w:hAnsi="宋体" w:eastAsia="宋体" w:cs="宋体"/>
          <w:sz w:val="28"/>
          <w:szCs w:val="28"/>
        </w:rPr>
        <w:t>日至</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12</w:t>
      </w:r>
      <w:r>
        <w:rPr>
          <w:rFonts w:hint="eastAsia" w:ascii="宋体" w:hAnsi="宋体" w:eastAsia="宋体" w:cs="宋体"/>
          <w:sz w:val="28"/>
          <w:szCs w:val="28"/>
        </w:rPr>
        <w:t>日(文件的发售期限自开始之日起不得少于5个工作日，每天上午</w:t>
      </w:r>
      <w:r>
        <w:rPr>
          <w:rFonts w:hint="eastAsia" w:ascii="宋体" w:hAnsi="宋体" w:eastAsia="宋体" w:cs="宋体"/>
          <w:sz w:val="28"/>
          <w:szCs w:val="28"/>
          <w:lang w:val="en-US" w:eastAsia="zh-CN"/>
        </w:rPr>
        <w:t>8:00</w:t>
      </w:r>
      <w:r>
        <w:rPr>
          <w:rFonts w:hint="eastAsia" w:ascii="宋体" w:hAnsi="宋体" w:eastAsia="宋体" w:cs="宋体"/>
          <w:sz w:val="28"/>
          <w:szCs w:val="28"/>
        </w:rPr>
        <w:t>至</w:t>
      </w:r>
      <w:r>
        <w:rPr>
          <w:rFonts w:hint="eastAsia" w:ascii="宋体" w:hAnsi="宋体" w:eastAsia="宋体" w:cs="宋体"/>
          <w:sz w:val="28"/>
          <w:szCs w:val="28"/>
          <w:lang w:val="en-US" w:eastAsia="zh-CN"/>
        </w:rPr>
        <w:t>12:00</w:t>
      </w:r>
      <w:r>
        <w:rPr>
          <w:rFonts w:hint="eastAsia" w:ascii="宋体" w:hAnsi="宋体" w:eastAsia="宋体" w:cs="宋体"/>
          <w:sz w:val="28"/>
          <w:szCs w:val="28"/>
          <w:lang w:eastAsia="zh-CN"/>
        </w:rPr>
        <w:t>，</w:t>
      </w:r>
      <w:r>
        <w:rPr>
          <w:rFonts w:hint="eastAsia" w:ascii="宋体" w:hAnsi="宋体" w:eastAsia="宋体" w:cs="宋体"/>
          <w:sz w:val="28"/>
          <w:szCs w:val="28"/>
        </w:rPr>
        <w:t>下午</w:t>
      </w:r>
      <w:r>
        <w:rPr>
          <w:rFonts w:hint="eastAsia" w:ascii="宋体" w:hAnsi="宋体" w:eastAsia="宋体" w:cs="宋体"/>
          <w:sz w:val="28"/>
          <w:szCs w:val="28"/>
          <w:lang w:val="en-US" w:eastAsia="zh-CN"/>
        </w:rPr>
        <w:t>14:30</w:t>
      </w:r>
      <w:r>
        <w:rPr>
          <w:rFonts w:hint="eastAsia" w:ascii="宋体" w:hAnsi="宋体" w:eastAsia="宋体" w:cs="宋体"/>
          <w:sz w:val="28"/>
          <w:szCs w:val="28"/>
        </w:rPr>
        <w:t>至</w:t>
      </w:r>
      <w:r>
        <w:rPr>
          <w:rFonts w:hint="eastAsia" w:ascii="宋体" w:hAnsi="宋体" w:eastAsia="宋体" w:cs="宋体"/>
          <w:sz w:val="28"/>
          <w:szCs w:val="28"/>
          <w:lang w:val="en-US" w:eastAsia="zh-CN"/>
        </w:rPr>
        <w:t>17:30</w:t>
      </w:r>
      <w:r>
        <w:rPr>
          <w:rFonts w:hint="eastAsia" w:ascii="宋体" w:hAnsi="宋体" w:eastAsia="宋体" w:cs="宋体"/>
          <w:sz w:val="28"/>
          <w:szCs w:val="28"/>
        </w:rPr>
        <w:t>(北京时间，法定节假日除外)</w:t>
      </w:r>
    </w:p>
    <w:p w14:paraId="2A975E2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竟价响应文件提交</w:t>
      </w:r>
    </w:p>
    <w:p w14:paraId="379641A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12</w:t>
      </w:r>
      <w:r>
        <w:rPr>
          <w:rFonts w:hint="eastAsia" w:ascii="宋体" w:hAnsi="宋体" w:eastAsia="宋体" w:cs="宋体"/>
          <w:sz w:val="28"/>
          <w:szCs w:val="28"/>
        </w:rPr>
        <w:t>日</w:t>
      </w:r>
      <w:r>
        <w:rPr>
          <w:rFonts w:hint="eastAsia" w:ascii="宋体" w:hAnsi="宋体" w:eastAsia="宋体" w:cs="宋体"/>
          <w:sz w:val="28"/>
          <w:szCs w:val="28"/>
          <w:lang w:val="en-US" w:eastAsia="zh-CN"/>
        </w:rPr>
        <w:t>15:00</w:t>
      </w:r>
      <w:r>
        <w:rPr>
          <w:rFonts w:hint="eastAsia" w:ascii="宋体" w:hAnsi="宋体" w:eastAsia="宋体" w:cs="宋体"/>
          <w:sz w:val="28"/>
          <w:szCs w:val="28"/>
        </w:rPr>
        <w:t>(北京时间)(从竞价文件开始发出之日起至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提交竟价响应文件截止之日止不得少于5个工作日)</w:t>
      </w:r>
    </w:p>
    <w:p w14:paraId="1219FC5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提交文件地点</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竟价响应文件开启</w:t>
      </w:r>
    </w:p>
    <w:p w14:paraId="34DF0A8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12日15:00</w:t>
      </w:r>
      <w:r>
        <w:rPr>
          <w:rFonts w:hint="eastAsia" w:ascii="宋体" w:hAnsi="宋体" w:eastAsia="宋体" w:cs="宋体"/>
          <w:sz w:val="28"/>
          <w:szCs w:val="28"/>
        </w:rPr>
        <w:t>(北京时间)</w:t>
      </w:r>
    </w:p>
    <w:p w14:paraId="4F98D1B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地点</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桐城经开区建投集团五楼招投标办公室</w:t>
      </w:r>
    </w:p>
    <w:p w14:paraId="591949B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资格审查方式：资格先审。投标单位于2025年11月11日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13865108771</w:t>
      </w:r>
    </w:p>
    <w:p w14:paraId="7780D7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本次竟价公告在桐城经开区建投集团公司网站上发布，期限为自公告发布之日起</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招标单位信息</w:t>
      </w:r>
      <w:r>
        <w:rPr>
          <w:rFonts w:hint="eastAsia" w:ascii="宋体" w:hAnsi="宋体" w:eastAsia="宋体" w:cs="宋体"/>
          <w:b/>
          <w:bCs/>
          <w:sz w:val="28"/>
          <w:szCs w:val="28"/>
          <w:lang w:eastAsia="zh-CN"/>
        </w:rPr>
        <w:t>：</w:t>
      </w:r>
    </w:p>
    <w:p w14:paraId="1717025A">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名称：桐城市天正控股集团有限公司</w:t>
      </w:r>
    </w:p>
    <w:p w14:paraId="35474B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：桐城经开区建投集团公司大楼</w:t>
      </w:r>
      <w:r>
        <w:rPr>
          <w:rFonts w:hint="eastAsia" w:ascii="宋体" w:hAnsi="宋体" w:eastAsia="宋体" w:cs="宋体"/>
          <w:sz w:val="28"/>
          <w:szCs w:val="28"/>
          <w:lang w:val="en-US" w:eastAsia="zh-CN"/>
        </w:rPr>
        <w:t>七</w:t>
      </w:r>
      <w:r>
        <w:rPr>
          <w:rFonts w:hint="eastAsia" w:ascii="宋体" w:hAnsi="宋体" w:eastAsia="宋体" w:cs="宋体"/>
          <w:sz w:val="28"/>
          <w:szCs w:val="28"/>
          <w:lang w:eastAsia="zh-CN"/>
        </w:rPr>
        <w:t>楼</w:t>
      </w:r>
    </w:p>
    <w:p w14:paraId="43FAAD37">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姚文武</w:t>
      </w:r>
    </w:p>
    <w:p w14:paraId="7777AF4A">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13865121480</w:t>
      </w:r>
    </w:p>
    <w:p w14:paraId="0D7F490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代理机构信息</w:t>
      </w:r>
      <w:r>
        <w:rPr>
          <w:rFonts w:hint="eastAsia" w:ascii="宋体" w:hAnsi="宋体" w:eastAsia="宋体" w:cs="宋体"/>
          <w:b/>
          <w:bCs/>
          <w:sz w:val="28"/>
          <w:szCs w:val="28"/>
          <w:lang w:eastAsia="zh-CN"/>
        </w:rPr>
        <w:t>：</w:t>
      </w:r>
    </w:p>
    <w:p w14:paraId="24A06AA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名称：</w:t>
      </w:r>
      <w:r>
        <w:rPr>
          <w:rFonts w:hint="eastAsia" w:ascii="宋体" w:hAnsi="宋体" w:eastAsia="宋体" w:cs="宋体"/>
          <w:sz w:val="28"/>
          <w:szCs w:val="28"/>
        </w:rPr>
        <w:t>桐城经开区建投集团招投标办公室</w:t>
      </w:r>
    </w:p>
    <w:p w14:paraId="63EB91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桐城经开区建投集团公司大楼五楼</w:t>
      </w:r>
    </w:p>
    <w:p w14:paraId="41E0E6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rPr>
        <w:t>胡先生</w:t>
      </w:r>
    </w:p>
    <w:p w14:paraId="4763E0E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rPr>
        <w:t>13865108771</w:t>
      </w:r>
    </w:p>
    <w:p w14:paraId="67142EC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九、具体详情见附件：</w:t>
      </w:r>
    </w:p>
    <w:p w14:paraId="2EE4EA52">
      <w:pPr>
        <w:rPr>
          <w:rFonts w:hint="eastAsia" w:ascii="宋体" w:hAnsi="宋体" w:eastAsia="宋体" w:cs="宋体"/>
          <w:sz w:val="30"/>
          <w:szCs w:val="30"/>
        </w:rPr>
      </w:pPr>
    </w:p>
    <w:p w14:paraId="3C38F705">
      <w:pPr>
        <w:ind w:firstLine="2530" w:firstLineChars="700"/>
        <w:jc w:val="both"/>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8"/>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4CAABD8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：安庆桐城化工园区（稳定同位素产业园）-同祥北路延伸段</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询价截止时间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12</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人民币叁仟元整（小写：3000.00元）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自竞价截止日后90日历日</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r>
              <w:rPr>
                <w:rFonts w:hint="eastAsia" w:ascii="宋体" w:hAnsi="宋体" w:eastAsia="宋体" w:cs="宋体"/>
                <w:sz w:val="24"/>
                <w:szCs w:val="24"/>
                <w:lang w:eastAsia="zh-CN"/>
              </w:rPr>
              <w:t>】</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1家</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rPr>
              <w:t xml:space="preserve">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036AF34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人民币叁仟元整（￥3000.00元）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r>
              <w:rPr>
                <w:rFonts w:hint="eastAsia" w:ascii="宋体" w:hAnsi="宋体" w:eastAsia="宋体" w:cs="宋体"/>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518A6F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桐城市天正控股集团有限公司</w:t>
            </w:r>
          </w:p>
          <w:p w14:paraId="3F239D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单位账户：20000211916010300000059</w:t>
            </w:r>
          </w:p>
          <w:p w14:paraId="630615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开户银行：安徽桐城农村商业银行股份有限公司文都支行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退还时间:验收合格后</w:t>
            </w:r>
            <w:r>
              <w:rPr>
                <w:rFonts w:hint="eastAsia" w:ascii="宋体" w:hAnsi="宋体" w:eastAsia="宋体" w:cs="宋体"/>
                <w:sz w:val="24"/>
                <w:szCs w:val="24"/>
                <w:lang w:val="en-US" w:eastAsia="zh-CN"/>
              </w:rPr>
              <w:t>15日历日。</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合规审计部</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公司大楼八楼</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具备运输条件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4D94773D">
      <w:pPr>
        <w:widowControl/>
        <w:kinsoku w:val="0"/>
        <w:autoSpaceDE w:val="0"/>
        <w:autoSpaceDN w:val="0"/>
        <w:adjustRightInd w:val="0"/>
        <w:snapToGrid w:val="0"/>
        <w:spacing w:before="12" w:line="200" w:lineRule="auto"/>
        <w:ind w:firstLine="1084" w:firstLineChars="300"/>
        <w:jc w:val="left"/>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二、</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须知正文</w:t>
      </w:r>
    </w:p>
    <w:p w14:paraId="2151BD88">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正文（略），详细内容见《安庆市乡镇限额以下工程建设项目竞价文件示范文本(2023年版)》</w:t>
      </w:r>
    </w:p>
    <w:p w14:paraId="43EB21D6">
      <w:pPr>
        <w:ind w:firstLine="600" w:firstLineChars="200"/>
        <w:rPr>
          <w:rFonts w:hint="eastAsia" w:ascii="宋体" w:hAnsi="宋体" w:eastAsia="宋体" w:cs="宋体"/>
          <w:sz w:val="30"/>
          <w:szCs w:val="30"/>
          <w:lang w:val="en-US" w:eastAsia="zh-CN"/>
        </w:rPr>
      </w:pPr>
    </w:p>
    <w:p w14:paraId="2A94CAA9">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14F2F4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1、材料要求：</w:t>
      </w:r>
    </w:p>
    <w:p w14:paraId="75F7E4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自行采购的材料应满足设计和规范要求的质量等级，并须按有关技术规范要求对材料质量进行检验成交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选定的材料供应厂家和价格须经</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和监理单位认可。如</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和监理单位对某种或某些材料的质量有异议，有权提出停止使用的要求，成交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必须服从该要求。若该材料经权威检验部门鉴定确有质量问题，由此而发生的一切费用由成交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自负。因成交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自行采购的材料质量引起的工程质量问题由成交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承担所造成的一切损失。</w:t>
      </w:r>
    </w:p>
    <w:p w14:paraId="3A5424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2、工程施工重点、难点：</w:t>
      </w:r>
      <w:r>
        <w:rPr>
          <w:rFonts w:hint="eastAsia" w:ascii="宋体" w:hAnsi="宋体" w:eastAsia="宋体" w:cs="宋体"/>
          <w:sz w:val="28"/>
          <w:szCs w:val="28"/>
          <w:lang w:val="en-US" w:eastAsia="zh-CN"/>
        </w:rPr>
        <w:t>无。</w:t>
      </w:r>
    </w:p>
    <w:p w14:paraId="23F2E2E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b/>
          <w:bCs/>
          <w:snapToGrid w:val="0"/>
          <w:color w:val="000000"/>
          <w:kern w:val="0"/>
          <w:sz w:val="36"/>
          <w:szCs w:val="36"/>
          <w:lang w:val="en-US" w:eastAsia="zh-CN"/>
        </w:rPr>
      </w:pPr>
      <w:r>
        <w:rPr>
          <w:rFonts w:hint="eastAsia" w:ascii="宋体" w:hAnsi="宋体" w:eastAsia="宋体" w:cs="宋体"/>
          <w:sz w:val="28"/>
          <w:szCs w:val="28"/>
          <w:lang w:val="en-US" w:eastAsia="zh-CN"/>
        </w:rPr>
        <w:t>3、其他：本次招标采用两轮报价竞价方式进行，第二轮有效报价为低于第一轮最低报价，超过第一轮最低报价的均为无效报价。第二轮报价结束，报价最低为中标候选人。(注意：两轮报价单上必须盖上投标单位的公章,否侧作为无效标处理)。</w:t>
      </w:r>
    </w:p>
    <w:p w14:paraId="32BA0BD7">
      <w:pPr>
        <w:widowControl/>
        <w:kinsoku w:val="0"/>
        <w:autoSpaceDE w:val="0"/>
        <w:autoSpaceDN w:val="0"/>
        <w:adjustRightInd w:val="0"/>
        <w:snapToGrid w:val="0"/>
        <w:spacing w:before="12" w:line="200" w:lineRule="auto"/>
        <w:ind w:firstLine="2168" w:firstLineChars="600"/>
        <w:jc w:val="both"/>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napToGrid w:val="0"/>
          <w:color w:val="000000"/>
          <w:kern w:val="0"/>
          <w:sz w:val="36"/>
          <w:szCs w:val="36"/>
          <w:lang w:val="en-US" w:eastAsia="zh-CN"/>
        </w:rPr>
        <w:t xml:space="preserve">第四章  </w:t>
      </w:r>
      <w:r>
        <w:rPr>
          <w:rFonts w:hint="default" w:ascii="华文中宋" w:hAnsi="华文中宋" w:eastAsia="华文中宋" w:cs="华文中宋"/>
          <w:b/>
          <w:bCs/>
          <w:snapToGrid w:val="0"/>
          <w:color w:val="000000"/>
          <w:kern w:val="0"/>
          <w:sz w:val="36"/>
          <w:szCs w:val="36"/>
          <w:lang w:val="en-US" w:eastAsia="zh-CN"/>
        </w:rPr>
        <w:t>采购合同主要条款</w:t>
      </w:r>
    </w:p>
    <w:p w14:paraId="4EEB521E">
      <w:pPr>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bCs/>
          <w:color w:val="000000"/>
          <w:sz w:val="28"/>
          <w:szCs w:val="28"/>
        </w:rPr>
      </w:pPr>
      <w:r>
        <w:rPr>
          <w:rFonts w:hint="eastAsia" w:ascii="宋体" w:hAnsi="宋体" w:eastAsia="宋体" w:cs="宋体"/>
          <w:sz w:val="28"/>
          <w:szCs w:val="28"/>
          <w:lang w:val="en-US" w:eastAsia="zh-CN"/>
        </w:rPr>
        <w:t>执行住房与城乡建设部、国家工商行政管理总局制定的《建设工程施工合同》（GF—2017—0201）</w:t>
      </w:r>
    </w:p>
    <w:p w14:paraId="1294789B">
      <w:pPr>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3.7 履约担保：</w:t>
      </w:r>
      <w:r>
        <w:rPr>
          <w:rFonts w:hint="eastAsia" w:ascii="宋体" w:hAnsi="宋体" w:eastAsia="宋体" w:cs="宋体"/>
          <w:sz w:val="28"/>
          <w:szCs w:val="28"/>
          <w:lang w:val="en-US" w:eastAsia="zh-CN"/>
        </w:rPr>
        <w:t>承包人须提供履约担保。</w:t>
      </w:r>
    </w:p>
    <w:p w14:paraId="5F6D6B5F">
      <w:pPr>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承包人提供履约担保的形式、金额及期限的：根据本工程竞价文件，工程履约保证金为人民币：叁仟</w:t>
      </w:r>
      <w:r>
        <w:rPr>
          <w:rFonts w:hint="eastAsia" w:ascii="宋体" w:hAnsi="宋体" w:eastAsia="宋体" w:cs="宋体"/>
          <w:b w:val="0"/>
          <w:bCs w:val="0"/>
          <w:kern w:val="2"/>
          <w:sz w:val="28"/>
          <w:szCs w:val="28"/>
          <w:lang w:val="en-US" w:eastAsia="zh-CN" w:bidi="ar-SA"/>
        </w:rPr>
        <w:t>元整（￥3000.00元）。履</w:t>
      </w:r>
      <w:r>
        <w:rPr>
          <w:rFonts w:hint="eastAsia" w:ascii="宋体" w:hAnsi="宋体" w:eastAsia="宋体" w:cs="宋体"/>
          <w:sz w:val="28"/>
          <w:szCs w:val="28"/>
          <w:lang w:val="en-US" w:eastAsia="zh-CN"/>
        </w:rPr>
        <w:t>约保证金退还：全部工程施工结束并经建设单位、监理单位（如有）初步验收合格全额退还履约保证金（保证金不计息）。</w:t>
      </w:r>
    </w:p>
    <w:p w14:paraId="02C74BAB">
      <w:pPr>
        <w:pStyle w:val="3"/>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bCs/>
          <w:kern w:val="2"/>
          <w:sz w:val="28"/>
          <w:szCs w:val="28"/>
          <w:lang w:val="en-US" w:eastAsia="zh-CN" w:bidi="ar-SA"/>
        </w:rPr>
      </w:pPr>
      <w:bookmarkStart w:id="0" w:name="_Toc296944544"/>
      <w:bookmarkStart w:id="1" w:name="_Toc296503205"/>
      <w:bookmarkStart w:id="2" w:name="_Toc296346706"/>
      <w:bookmarkStart w:id="3" w:name="_Toc292559915"/>
      <w:bookmarkStart w:id="4" w:name="_Toc296891245"/>
      <w:bookmarkStart w:id="5" w:name="_Toc296347204"/>
      <w:bookmarkStart w:id="6" w:name="_Toc292559410"/>
      <w:bookmarkStart w:id="7" w:name="_Toc296891033"/>
      <w:bookmarkStart w:id="8" w:name="_Toc297120505"/>
      <w:bookmarkStart w:id="9" w:name="_Toc297048391"/>
      <w:bookmarkStart w:id="10" w:name="_Toc351203644"/>
      <w:bookmarkStart w:id="11" w:name="_Toc300935002"/>
      <w:bookmarkStart w:id="12" w:name="_Toc303539159"/>
      <w:bookmarkStart w:id="13" w:name="_Toc297123552"/>
      <w:bookmarkStart w:id="14" w:name="_Toc304295579"/>
      <w:bookmarkStart w:id="15" w:name="_Toc297216211"/>
      <w:bookmarkStart w:id="16" w:name="_Toc312678040"/>
      <w:r>
        <w:rPr>
          <w:rFonts w:hint="eastAsia" w:ascii="宋体" w:hAnsi="宋体" w:eastAsia="宋体" w:cs="宋体"/>
          <w:b/>
          <w:bCs/>
          <w:kern w:val="2"/>
          <w:sz w:val="28"/>
          <w:szCs w:val="28"/>
          <w:lang w:val="en-US" w:eastAsia="zh-CN" w:bidi="ar-SA"/>
        </w:rPr>
        <w:t xml:space="preserve">12. </w:t>
      </w:r>
      <w:bookmarkEnd w:id="0"/>
      <w:bookmarkEnd w:id="1"/>
      <w:bookmarkEnd w:id="2"/>
      <w:bookmarkEnd w:id="3"/>
      <w:bookmarkEnd w:id="4"/>
      <w:bookmarkEnd w:id="5"/>
      <w:bookmarkEnd w:id="6"/>
      <w:bookmarkEnd w:id="7"/>
      <w:bookmarkEnd w:id="8"/>
      <w:bookmarkEnd w:id="9"/>
      <w:r>
        <w:rPr>
          <w:rFonts w:hint="eastAsia" w:ascii="宋体" w:hAnsi="宋体" w:eastAsia="宋体" w:cs="宋体"/>
          <w:b/>
          <w:bCs/>
          <w:kern w:val="2"/>
          <w:sz w:val="28"/>
          <w:szCs w:val="28"/>
          <w:lang w:val="en-US" w:eastAsia="zh-CN" w:bidi="ar-SA"/>
        </w:rPr>
        <w:t>合同价格、计量与支付</w:t>
      </w:r>
      <w:bookmarkEnd w:id="10"/>
      <w:r>
        <w:rPr>
          <w:rFonts w:hint="eastAsia" w:ascii="宋体" w:hAnsi="宋体" w:eastAsia="宋体" w:cs="宋体"/>
          <w:b/>
          <w:bCs/>
          <w:kern w:val="2"/>
          <w:sz w:val="28"/>
          <w:szCs w:val="28"/>
          <w:lang w:val="en-US" w:eastAsia="zh-CN" w:bidi="ar-SA"/>
        </w:rPr>
        <w:t>：</w:t>
      </w:r>
    </w:p>
    <w:bookmarkEnd w:id="11"/>
    <w:bookmarkEnd w:id="12"/>
    <w:bookmarkEnd w:id="13"/>
    <w:bookmarkEnd w:id="14"/>
    <w:bookmarkEnd w:id="15"/>
    <w:bookmarkEnd w:id="16"/>
    <w:p w14:paraId="2DD75A68">
      <w:pPr>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bCs/>
          <w:kern w:val="2"/>
          <w:sz w:val="28"/>
          <w:szCs w:val="28"/>
          <w:lang w:val="en-US" w:eastAsia="zh-CN" w:bidi="ar-SA"/>
        </w:rPr>
      </w:pPr>
      <w:bookmarkStart w:id="17" w:name="_Toc292559916"/>
      <w:bookmarkStart w:id="18" w:name="_Toc267251461"/>
      <w:bookmarkStart w:id="19" w:name="_Toc292559411"/>
      <w:bookmarkStart w:id="20" w:name="_Toc296891034"/>
      <w:bookmarkStart w:id="21" w:name="_Toc296346707"/>
      <w:bookmarkStart w:id="22" w:name="_Toc296347205"/>
      <w:bookmarkStart w:id="23" w:name="_Toc297048392"/>
      <w:bookmarkStart w:id="24" w:name="_Toc296944545"/>
      <w:bookmarkStart w:id="25" w:name="_Toc296503206"/>
      <w:bookmarkStart w:id="26" w:name="_Toc296891246"/>
      <w:bookmarkStart w:id="27" w:name="_Toc297120506"/>
      <w:bookmarkStart w:id="28" w:name="_Toc297216212"/>
      <w:bookmarkStart w:id="29" w:name="_Toc300935003"/>
      <w:bookmarkStart w:id="30" w:name="_Toc303539160"/>
      <w:bookmarkStart w:id="31" w:name="_Toc304295580"/>
      <w:bookmarkStart w:id="32" w:name="_Toc297123553"/>
      <w:bookmarkStart w:id="33" w:name="_Toc312678041"/>
      <w:r>
        <w:rPr>
          <w:rFonts w:hint="eastAsia" w:ascii="宋体" w:hAnsi="宋体" w:eastAsia="宋体" w:cs="宋体"/>
          <w:b/>
          <w:bCs/>
          <w:kern w:val="2"/>
          <w:sz w:val="28"/>
          <w:szCs w:val="28"/>
          <w:lang w:val="en-US" w:eastAsia="zh-CN" w:bidi="ar-SA"/>
        </w:rPr>
        <w:t>12.1 合</w:t>
      </w:r>
      <w:bookmarkEnd w:id="17"/>
      <w:bookmarkEnd w:id="18"/>
      <w:bookmarkEnd w:id="19"/>
      <w:r>
        <w:rPr>
          <w:rFonts w:hint="eastAsia" w:ascii="宋体" w:hAnsi="宋体" w:eastAsia="宋体" w:cs="宋体"/>
          <w:b/>
          <w:bCs/>
          <w:kern w:val="2"/>
          <w:sz w:val="28"/>
          <w:szCs w:val="28"/>
          <w:lang w:val="en-US" w:eastAsia="zh-CN" w:bidi="ar-SA"/>
        </w:rPr>
        <w:t>同价</w:t>
      </w:r>
      <w:bookmarkEnd w:id="20"/>
      <w:bookmarkEnd w:id="21"/>
      <w:bookmarkEnd w:id="22"/>
      <w:bookmarkEnd w:id="23"/>
      <w:bookmarkEnd w:id="24"/>
      <w:bookmarkEnd w:id="25"/>
      <w:bookmarkEnd w:id="26"/>
      <w:bookmarkEnd w:id="27"/>
      <w:r>
        <w:rPr>
          <w:rFonts w:hint="eastAsia" w:ascii="宋体" w:hAnsi="宋体" w:eastAsia="宋体" w:cs="宋体"/>
          <w:b/>
          <w:bCs/>
          <w:kern w:val="2"/>
          <w:sz w:val="28"/>
          <w:szCs w:val="28"/>
          <w:lang w:val="en-US" w:eastAsia="zh-CN" w:bidi="ar-SA"/>
        </w:rPr>
        <w:t>格形式</w:t>
      </w:r>
      <w:bookmarkEnd w:id="28"/>
      <w:bookmarkEnd w:id="29"/>
      <w:bookmarkEnd w:id="30"/>
      <w:bookmarkEnd w:id="31"/>
      <w:bookmarkEnd w:id="32"/>
      <w:bookmarkEnd w:id="33"/>
      <w:r>
        <w:rPr>
          <w:rFonts w:hint="eastAsia" w:ascii="宋体" w:hAnsi="宋体" w:eastAsia="宋体" w:cs="宋体"/>
          <w:b/>
          <w:bCs/>
          <w:kern w:val="2"/>
          <w:sz w:val="28"/>
          <w:szCs w:val="28"/>
          <w:lang w:val="en-US" w:eastAsia="zh-CN" w:bidi="ar-SA"/>
        </w:rPr>
        <w:t>：总价</w:t>
      </w:r>
      <w:r>
        <w:rPr>
          <w:rFonts w:hint="eastAsia" w:ascii="宋体" w:hAnsi="宋体" w:eastAsia="宋体" w:cs="宋体"/>
          <w:b w:val="0"/>
          <w:bCs w:val="0"/>
          <w:kern w:val="2"/>
          <w:sz w:val="28"/>
          <w:szCs w:val="28"/>
          <w:lang w:val="en-US" w:eastAsia="zh-CN" w:bidi="ar-SA"/>
        </w:rPr>
        <w:t>合同。总价包含的风险范围：1、报价人已经仔细勘察现场，了解现场各项施工条件。2、所有施工机械进退场以及施工过程中所需的道路、场地平整硬化费用以及应包括根据工程特点和现场因素发生的所有措施性费用、为实施和完成工程所需的劳务费、材料费、施工机械费、材料复试检验试验费、临舍、施工用水电、所有机械进退场费用、缺陷修复费、安全设施费、管理费用、税金、保险费、利润、规费（含环保部门收取的相关费用）等所有费用以及本询价文件所述的施工风险、责任和义务均包含在合同总价内。3、本工程所有材料在符合设计标准、国家规范的前提下由承包人负责采购。所有材料的采购、包装、运输、保管、上下力资、二次搬运、搬运、保管、施工过程中产生的损耗以及材料的采购订货周期、现场条件、加工条件、储存空间、装卸限制、材料复试检验试验等均已包含在合同价中。4、本工程所有材料价格、工价在整个建设期内由承包人包定。5、风险费用的计算方法：在整个建设期内风险费用已由承包人包干在合同价内。</w:t>
      </w:r>
    </w:p>
    <w:p w14:paraId="3CBFDE00">
      <w:pPr>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12.2工程进度款支付：</w:t>
      </w:r>
    </w:p>
    <w:p w14:paraId="5DC51CE3">
      <w:pPr>
        <w:pStyle w:val="4"/>
        <w:spacing w:afterLines="-2147483648" w:afterAutospacing="0"/>
        <w:ind w:firstLine="560" w:firstLineChars="2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12.2.1 工程款支付的方式和时间：工程竣工验收合格后，付至合同价款的85%，待甲方与业主结算后，甲方出具结算书后付至结算价(结算书的结算价)97%；剩余工程款 3%作为工程质保金自验收合格之日满贰年后无质量问题一次性付清(不计息)。</w:t>
      </w:r>
    </w:p>
    <w:p w14:paraId="77101986">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FBD171">
      <w:pPr>
        <w:widowControl/>
        <w:kinsoku w:val="0"/>
        <w:autoSpaceDE w:val="0"/>
        <w:autoSpaceDN w:val="0"/>
        <w:adjustRightInd w:val="0"/>
        <w:snapToGrid w:val="0"/>
        <w:spacing w:before="12" w:line="200" w:lineRule="auto"/>
        <w:ind w:firstLine="2530" w:firstLineChars="7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530" w:firstLineChars="700"/>
        <w:jc w:val="left"/>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第五章 竟价响应文件</w:t>
      </w:r>
    </w:p>
    <w:p w14:paraId="585970E5">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BB21BBD">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一、报价表格式</w:t>
      </w:r>
    </w:p>
    <w:p w14:paraId="579D13F6">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某项目</w:t>
      </w: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某编号</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全部</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 xml:space="preserve">人民币大写：        </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75999D33">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供货日期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甲方要求供货后      日历天货到现场</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是否向应付款方式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2336749F">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6C62E24F">
      <w:pPr>
        <w:widowControl w:val="0"/>
        <w:numPr>
          <w:ilvl w:val="0"/>
          <w:numId w:val="0"/>
        </w:numPr>
        <w:jc w:val="both"/>
        <w:rPr>
          <w:rFonts w:hint="default" w:ascii="宋体" w:hAnsi="宋体" w:eastAsia="宋体" w:cs="宋体"/>
          <w:sz w:val="30"/>
          <w:szCs w:val="30"/>
          <w:lang w:val="en-US" w:eastAsia="zh-CN"/>
        </w:rPr>
      </w:pP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1.本表内容包括了竟价文件要求提供的全部内容的所有费用。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F13238A">
      <w:pPr>
        <w:widowControl w:val="0"/>
        <w:numPr>
          <w:ilvl w:val="0"/>
          <w:numId w:val="0"/>
        </w:numPr>
        <w:jc w:val="both"/>
        <w:rPr>
          <w:rFonts w:hint="default" w:ascii="华文中宋" w:hAnsi="华文中宋" w:eastAsia="华文中宋" w:cs="华文中宋"/>
          <w:b/>
          <w:bCs/>
          <w:snapToGrid w:val="0"/>
          <w:color w:val="000000"/>
          <w:kern w:val="0"/>
          <w:sz w:val="36"/>
          <w:szCs w:val="36"/>
          <w:lang w:val="en-US" w:eastAsia="zh-CN"/>
        </w:rPr>
      </w:pPr>
      <w:r>
        <w:rPr>
          <w:rFonts w:hint="default" w:ascii="宋体" w:hAnsi="宋体" w:eastAsia="宋体" w:cs="宋体"/>
          <w:sz w:val="30"/>
          <w:szCs w:val="30"/>
          <w:lang w:val="en-US" w:eastAsia="zh-CN"/>
        </w:rPr>
        <w:t>3.报价表中大写金额与小写金额不一致的，以大写金</w:t>
      </w:r>
      <w:r>
        <w:rPr>
          <w:rFonts w:hint="eastAsia" w:ascii="宋体" w:hAnsi="宋体" w:eastAsia="宋体" w:cs="宋体"/>
          <w:sz w:val="30"/>
          <w:szCs w:val="30"/>
          <w:lang w:val="en-US" w:eastAsia="zh-CN"/>
        </w:rPr>
        <w:t>额为准。</w:t>
      </w:r>
    </w:p>
    <w:p w14:paraId="0532E962">
      <w:pPr>
        <w:widowControl/>
        <w:numPr>
          <w:ilvl w:val="0"/>
          <w:numId w:val="0"/>
        </w:numPr>
        <w:kinsoku w:val="0"/>
        <w:autoSpaceDE w:val="0"/>
        <w:autoSpaceDN w:val="0"/>
        <w:adjustRightInd w:val="0"/>
        <w:snapToGrid w:val="0"/>
        <w:spacing w:before="12" w:line="200" w:lineRule="auto"/>
        <w:jc w:val="left"/>
        <w:textAlignment w:val="baseline"/>
        <w:rPr>
          <w:rFonts w:hint="default" w:ascii="华文中宋" w:hAnsi="华文中宋" w:eastAsia="华文中宋" w:cs="华文中宋"/>
          <w:b/>
          <w:bCs/>
          <w:snapToGrid w:val="0"/>
          <w:color w:val="000000"/>
          <w:kern w:val="0"/>
          <w:sz w:val="36"/>
          <w:szCs w:val="36"/>
          <w:lang w:val="en-US" w:eastAsia="zh-CN"/>
        </w:rPr>
      </w:pPr>
    </w:p>
    <w:p w14:paraId="61751CDC">
      <w:pPr>
        <w:widowControl w:val="0"/>
        <w:numPr>
          <w:ilvl w:val="0"/>
          <w:numId w:val="0"/>
        </w:numPr>
        <w:jc w:val="both"/>
        <w:rPr>
          <w:rFonts w:hint="default" w:ascii="宋体" w:hAnsi="宋体" w:eastAsia="宋体" w:cs="宋体"/>
          <w:sz w:val="30"/>
          <w:szCs w:val="30"/>
          <w:lang w:val="en-US" w:eastAsia="zh-CN"/>
        </w:rPr>
      </w:pPr>
    </w:p>
    <w:p w14:paraId="4FFF38BD">
      <w:pPr>
        <w:widowControl/>
        <w:kinsoku w:val="0"/>
        <w:autoSpaceDE w:val="0"/>
        <w:autoSpaceDN w:val="0"/>
        <w:adjustRightInd w:val="0"/>
        <w:snapToGrid w:val="0"/>
        <w:spacing w:before="12" w:line="200" w:lineRule="auto"/>
        <w:ind w:firstLine="2530" w:firstLineChars="7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二、</w:t>
      </w:r>
      <w:r>
        <w:rPr>
          <w:rFonts w:hint="default" w:ascii="华文中宋" w:hAnsi="华文中宋" w:eastAsia="华文中宋" w:cs="华文中宋"/>
          <w:b/>
          <w:bCs/>
          <w:snapToGrid w:val="0"/>
          <w:color w:val="000000"/>
          <w:kern w:val="0"/>
          <w:sz w:val="36"/>
          <w:szCs w:val="36"/>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应根据竟价公告中的“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资格要求”提供相关证明材料，包括但不限于资质证明材料、财务证明材料、业绩证明材料、信誉证明材料、主要人员证明材料等。证明材料一般使用复印件或影印件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2800C5A5">
      <w:pPr>
        <w:widowControl/>
        <w:kinsoku w:val="0"/>
        <w:autoSpaceDE w:val="0"/>
        <w:autoSpaceDN w:val="0"/>
        <w:adjustRightInd w:val="0"/>
        <w:snapToGrid w:val="0"/>
        <w:spacing w:before="12" w:line="200" w:lineRule="auto"/>
        <w:jc w:val="left"/>
        <w:textAlignment w:val="baseline"/>
        <w:rPr>
          <w:rFonts w:hint="default" w:ascii="华文中宋" w:hAnsi="华文中宋" w:eastAsia="华文中宋" w:cs="华文中宋"/>
          <w:b/>
          <w:bCs/>
          <w:snapToGrid w:val="0"/>
          <w:color w:val="000000"/>
          <w:kern w:val="0"/>
          <w:sz w:val="36"/>
          <w:szCs w:val="36"/>
          <w:lang w:val="en-US" w:eastAsia="zh-CN"/>
        </w:rPr>
      </w:pPr>
    </w:p>
    <w:p w14:paraId="493E5129">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三</w:t>
      </w:r>
      <w:r>
        <w:rPr>
          <w:rFonts w:hint="default" w:ascii="华文中宋" w:hAnsi="华文中宋" w:eastAsia="华文中宋" w:cs="华文中宋"/>
          <w:b/>
          <w:bCs/>
          <w:snapToGrid w:val="0"/>
          <w:color w:val="000000"/>
          <w:kern w:val="0"/>
          <w:sz w:val="36"/>
          <w:szCs w:val="36"/>
          <w:lang w:val="en-US" w:eastAsia="zh-CN"/>
        </w:rPr>
        <w:t>、竟价响应函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w:t>
      </w:r>
      <w:r>
        <w:rPr>
          <w:rFonts w:hint="eastAsia" w:ascii="宋体" w:hAnsi="宋体" w:eastAsia="宋体" w:cs="宋体"/>
          <w:sz w:val="30"/>
          <w:szCs w:val="30"/>
          <w:lang w:val="en-US" w:eastAsia="zh-CN"/>
        </w:rPr>
        <w:t>招标</w:t>
      </w:r>
      <w:r>
        <w:rPr>
          <w:rFonts w:hint="default" w:ascii="宋体" w:hAnsi="宋体" w:eastAsia="宋体" w:cs="宋体"/>
          <w:sz w:val="30"/>
          <w:szCs w:val="30"/>
          <w:lang w:val="en-US" w:eastAsia="zh-CN"/>
        </w:rPr>
        <w:t>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根据贵方的竟价公告，我方兹宣布同意如下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竟价文件的竟价须知、合同条款、图纸和工程建设技术标准及其他有关文件后，我方接受上述文件要求，并对工程量清单及最高投标限价(控制价)无异议。我方承诺按本竟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2.我方已详细审核并确认全部竟价文件及有关附件，充分理解竟价格不得低于企业个别成本有关规定。我方经成本核算，所填报的竟价报价不低于企业个别成本。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3.一旦我方成交，我方保证按竟价文件约定的工期和竟价文件或业主开工令的要求如期开工、竣工并移交整个工程。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一旦我方成交，我方保证竟价文件中承诺的项目管理班子及施工机械设备到位，并按竟价文件中的施工组织设计组织施工,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一旦我方成交，我方保证用于本工程的主要材料、设备，符合竟价文件规定和竟价文件承诺，并在使用之前经建设、监理、设计单位确认后使用。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7.一旦我方成交，我方保证在规定的时间内由我方法定代表人亲自签订合同以及及时进场施工，并认真履行合同和基它各项承诺。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8.一旦我方成交，我方保证在规定的时间内按竟价文件规定的方式、金额向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9.我方同意所提交的竟价响应文件在竟价文件规定的有效期内有效，在此期间内如果成交，我方将受此约束。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10，除非另外达成协议并生效，你方的成交通知书和本竟价响应文件以及竟价文件、竟价文件澄清、修改、补充将成为约束双方的合同文件的组成部分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我单位竟价并成交后在项目所在地交纳相关税费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竟价所提供企业业绩及项目经理业绩均真实有效。我单位承诺所委任项目经理未在其他项目上担任项目经理岗位，或虽在其他项目上担任项目经理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竟价文件公布的施工扬尘污染防治措施费用，一旦我方成交，将严格遵守国家、省、市增值税相关规定的要求。我方将按照竟价文件的要求对农民工工资、扬尘污染防治进行办理专户设立、工资支付等事宜</w:t>
      </w:r>
      <w:r>
        <w:rPr>
          <w:rFonts w:hint="eastAsia" w:ascii="宋体" w:hAnsi="宋体" w:eastAsia="宋体" w:cs="宋体"/>
          <w:sz w:val="30"/>
          <w:szCs w:val="30"/>
          <w:lang w:val="en-US" w:eastAsia="zh-CN"/>
        </w:rPr>
        <w:t>。</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3C2DBC45">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p>
    <w:p w14:paraId="4C814CCF">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p>
    <w:p w14:paraId="315E4B15">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p>
    <w:p w14:paraId="1267B29C">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p>
    <w:p w14:paraId="75EE4166">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p>
    <w:p w14:paraId="0EBCB375">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p>
    <w:p w14:paraId="134CB450">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四</w:t>
      </w:r>
      <w:r>
        <w:rPr>
          <w:rFonts w:hint="default" w:ascii="华文中宋" w:hAnsi="华文中宋" w:eastAsia="华文中宋" w:cs="华文中宋"/>
          <w:b/>
          <w:bCs/>
          <w:snapToGrid w:val="0"/>
          <w:color w:val="000000"/>
          <w:kern w:val="0"/>
          <w:sz w:val="36"/>
          <w:szCs w:val="36"/>
          <w:lang w:val="en-US" w:eastAsia="zh-CN"/>
        </w:rPr>
        <w:t>、授权书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w:t>
      </w:r>
      <w:r>
        <w:rPr>
          <w:rFonts w:hint="default" w:ascii="宋体" w:hAnsi="宋体" w:eastAsia="宋体" w:cs="宋体"/>
          <w:sz w:val="30"/>
          <w:szCs w:val="30"/>
          <w:lang w:val="en-US" w:eastAsia="zh-CN"/>
        </w:rPr>
        <w:t>竟价活动，全权代表我方处理竟价过程的一切事宜，包括但不限于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提交竟价响应文件、参与竟价、签约等。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授权代表在竟价活动过程中所签署的一切文件和处理与之有关的一切事务，本公司均予以认可并对此承担责任。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1"/>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2.法定代表人参加竟价的无需提供授权书，仅提供身份证明扫描件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4A89D6BD">
      <w:pPr>
        <w:widowControl w:val="0"/>
        <w:numPr>
          <w:ilvl w:val="0"/>
          <w:numId w:val="0"/>
        </w:numPr>
        <w:jc w:val="both"/>
        <w:rPr>
          <w:rFonts w:hint="default" w:ascii="宋体" w:hAnsi="宋体" w:eastAsia="宋体" w:cs="宋体"/>
          <w:sz w:val="30"/>
          <w:szCs w:val="30"/>
          <w:lang w:val="en-US" w:eastAsia="zh-CN"/>
        </w:rPr>
      </w:pPr>
    </w:p>
    <w:p w14:paraId="5086DD5A">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五、</w:t>
      </w:r>
      <w:r>
        <w:rPr>
          <w:rFonts w:hint="default" w:ascii="华文中宋" w:hAnsi="华文中宋" w:eastAsia="华文中宋" w:cs="华文中宋"/>
          <w:b/>
          <w:bCs/>
          <w:snapToGrid w:val="0"/>
          <w:color w:val="000000"/>
          <w:kern w:val="0"/>
          <w:sz w:val="36"/>
          <w:szCs w:val="36"/>
          <w:lang w:val="en-US" w:eastAsia="zh-CN"/>
        </w:rPr>
        <w:t>竟价保证金缴纳凭证</w:t>
      </w:r>
    </w:p>
    <w:p w14:paraId="6AF6C6FD">
      <w:pPr>
        <w:widowControl w:val="0"/>
        <w:numPr>
          <w:ilvl w:val="0"/>
          <w:numId w:val="0"/>
        </w:numPr>
        <w:jc w:val="center"/>
        <w:rPr>
          <w:rFonts w:hint="default" w:ascii="宋体" w:hAnsi="宋体" w:eastAsia="宋体" w:cs="宋体"/>
          <w:b/>
          <w:bCs/>
          <w:sz w:val="30"/>
          <w:szCs w:val="30"/>
          <w:lang w:val="en-US" w:eastAsia="zh-CN"/>
        </w:rPr>
      </w:pPr>
    </w:p>
    <w:p w14:paraId="67EE41A3">
      <w:pPr>
        <w:widowControl w:val="0"/>
        <w:numPr>
          <w:ilvl w:val="0"/>
          <w:numId w:val="0"/>
        </w:numPr>
        <w:jc w:val="center"/>
        <w:rPr>
          <w:rFonts w:hint="default" w:ascii="宋体" w:hAnsi="宋体" w:eastAsia="宋体" w:cs="宋体"/>
          <w:b/>
          <w:bCs/>
          <w:sz w:val="30"/>
          <w:szCs w:val="30"/>
          <w:lang w:val="en-US" w:eastAsia="zh-CN"/>
        </w:rPr>
      </w:pPr>
    </w:p>
    <w:p w14:paraId="18A6DDC8">
      <w:pPr>
        <w:widowControl/>
        <w:kinsoku w:val="0"/>
        <w:autoSpaceDE w:val="0"/>
        <w:autoSpaceDN w:val="0"/>
        <w:adjustRightInd w:val="0"/>
        <w:snapToGrid w:val="0"/>
        <w:spacing w:before="12" w:line="200" w:lineRule="auto"/>
        <w:ind w:left="2770"/>
        <w:jc w:val="left"/>
        <w:textAlignment w:val="baseline"/>
        <w:rPr>
          <w:rFonts w:hint="default" w:ascii="宋体" w:hAnsi="宋体" w:eastAsia="宋体" w:cs="宋体"/>
          <w:b/>
          <w:bCs/>
          <w:sz w:val="30"/>
          <w:szCs w:val="30"/>
          <w:lang w:val="en-US" w:eastAsia="zh-CN"/>
        </w:rPr>
      </w:pPr>
    </w:p>
    <w:p w14:paraId="58D6EB01">
      <w:pPr>
        <w:widowControl w:val="0"/>
        <w:numPr>
          <w:ilvl w:val="0"/>
          <w:numId w:val="0"/>
        </w:numPr>
        <w:jc w:val="center"/>
        <w:rPr>
          <w:rFonts w:hint="default" w:ascii="宋体" w:hAnsi="宋体" w:eastAsia="宋体" w:cs="宋体"/>
          <w:b/>
          <w:bCs/>
          <w:sz w:val="30"/>
          <w:szCs w:val="30"/>
          <w:lang w:val="en-US" w:eastAsia="zh-CN"/>
        </w:rPr>
      </w:pPr>
    </w:p>
    <w:p w14:paraId="17716DD8">
      <w:pPr>
        <w:widowControl w:val="0"/>
        <w:numPr>
          <w:ilvl w:val="0"/>
          <w:numId w:val="0"/>
        </w:numPr>
        <w:jc w:val="center"/>
        <w:rPr>
          <w:rFonts w:hint="default" w:ascii="宋体" w:hAnsi="宋体" w:eastAsia="宋体" w:cs="宋体"/>
          <w:b/>
          <w:bCs/>
          <w:sz w:val="30"/>
          <w:szCs w:val="30"/>
          <w:lang w:val="en-US" w:eastAsia="zh-CN"/>
        </w:rPr>
      </w:pPr>
    </w:p>
    <w:p w14:paraId="309D6CC5">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val="en-US" w:eastAsia="zh-CN"/>
        </w:rPr>
      </w:pPr>
    </w:p>
    <w:p w14:paraId="4A40EC5F">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val="en-US" w:eastAsia="zh-CN"/>
        </w:rPr>
      </w:pPr>
    </w:p>
    <w:p w14:paraId="0EA88030">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六</w:t>
      </w:r>
      <w:r>
        <w:rPr>
          <w:rFonts w:hint="default" w:ascii="华文中宋" w:hAnsi="华文中宋" w:eastAsia="华文中宋" w:cs="华文中宋"/>
          <w:b/>
          <w:bCs/>
          <w:snapToGrid w:val="0"/>
          <w:color w:val="000000"/>
          <w:kern w:val="0"/>
          <w:sz w:val="36"/>
          <w:szCs w:val="36"/>
          <w:lang w:val="en-US" w:eastAsia="zh-CN"/>
        </w:rPr>
        <w:t>、法定代表人身份证明书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七、</w:t>
      </w:r>
      <w:r>
        <w:rPr>
          <w:rFonts w:hint="default" w:ascii="华文中宋" w:hAnsi="华文中宋" w:eastAsia="华文中宋" w:cs="华文中宋"/>
          <w:b/>
          <w:bCs/>
          <w:snapToGrid w:val="0"/>
          <w:color w:val="000000"/>
          <w:kern w:val="0"/>
          <w:sz w:val="36"/>
          <w:szCs w:val="36"/>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AE6E8C"/>
    <w:rsid w:val="01B644D5"/>
    <w:rsid w:val="04B62664"/>
    <w:rsid w:val="053A7728"/>
    <w:rsid w:val="07A87985"/>
    <w:rsid w:val="0A5807C0"/>
    <w:rsid w:val="0CCA0102"/>
    <w:rsid w:val="0EAB2D9D"/>
    <w:rsid w:val="10186C4F"/>
    <w:rsid w:val="104024BB"/>
    <w:rsid w:val="10A1272D"/>
    <w:rsid w:val="15B624DF"/>
    <w:rsid w:val="16086691"/>
    <w:rsid w:val="16777D74"/>
    <w:rsid w:val="17620A24"/>
    <w:rsid w:val="17E37F22"/>
    <w:rsid w:val="1A995764"/>
    <w:rsid w:val="1BC75EFD"/>
    <w:rsid w:val="1BCC7AE1"/>
    <w:rsid w:val="1CD37D06"/>
    <w:rsid w:val="1D6E2503"/>
    <w:rsid w:val="212D0447"/>
    <w:rsid w:val="225F30E3"/>
    <w:rsid w:val="22C56292"/>
    <w:rsid w:val="2328499E"/>
    <w:rsid w:val="2487000D"/>
    <w:rsid w:val="29C15C38"/>
    <w:rsid w:val="30E32710"/>
    <w:rsid w:val="323B0F1C"/>
    <w:rsid w:val="327D0B10"/>
    <w:rsid w:val="336B1FF3"/>
    <w:rsid w:val="38E9172E"/>
    <w:rsid w:val="39B2152A"/>
    <w:rsid w:val="39DA3FF3"/>
    <w:rsid w:val="3A655FB2"/>
    <w:rsid w:val="3BFA4E20"/>
    <w:rsid w:val="3C0A2099"/>
    <w:rsid w:val="3C783E27"/>
    <w:rsid w:val="3D7A298D"/>
    <w:rsid w:val="3E065C55"/>
    <w:rsid w:val="3F302319"/>
    <w:rsid w:val="411C2D94"/>
    <w:rsid w:val="426076F1"/>
    <w:rsid w:val="47852E03"/>
    <w:rsid w:val="499C4275"/>
    <w:rsid w:val="4B0C3736"/>
    <w:rsid w:val="4C3F4015"/>
    <w:rsid w:val="4C7A6630"/>
    <w:rsid w:val="4D0D6259"/>
    <w:rsid w:val="4EAF55F6"/>
    <w:rsid w:val="51F14880"/>
    <w:rsid w:val="553305D6"/>
    <w:rsid w:val="55654D48"/>
    <w:rsid w:val="58C12AF6"/>
    <w:rsid w:val="5BD177B3"/>
    <w:rsid w:val="5C22401C"/>
    <w:rsid w:val="5E645B8F"/>
    <w:rsid w:val="5EF835E3"/>
    <w:rsid w:val="5FC53FCD"/>
    <w:rsid w:val="652F61B1"/>
    <w:rsid w:val="6540497C"/>
    <w:rsid w:val="67021CFF"/>
    <w:rsid w:val="67032FD8"/>
    <w:rsid w:val="67FA4F92"/>
    <w:rsid w:val="69B56F7A"/>
    <w:rsid w:val="6BA047ED"/>
    <w:rsid w:val="6BF552B9"/>
    <w:rsid w:val="6C891725"/>
    <w:rsid w:val="6CCA7D73"/>
    <w:rsid w:val="6DB1683D"/>
    <w:rsid w:val="6E566E9A"/>
    <w:rsid w:val="6EAE1A49"/>
    <w:rsid w:val="719F6C1D"/>
    <w:rsid w:val="71E81DDA"/>
    <w:rsid w:val="72F02971"/>
    <w:rsid w:val="7A23637B"/>
    <w:rsid w:val="7A2F7F18"/>
    <w:rsid w:val="7A6C6F13"/>
    <w:rsid w:val="7D23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4858</Words>
  <Characters>5161</Characters>
  <Lines>0</Lines>
  <Paragraphs>0</Paragraphs>
  <TotalTime>66</TotalTime>
  <ScaleCrop>false</ScaleCrop>
  <LinksUpToDate>false</LinksUpToDate>
  <CharactersWithSpaces>5341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dcterms:modified xsi:type="dcterms:W3CDTF">2025-11-05T02:48:40Z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47DB9CC0FABE43D09FE870E6005C75D5_13</vt:lpwstr>
  </property>
  <property fmtid="{D5CDD505-2E9C-101B-9397-08002B2CF9AE}" pid="4" name="KSOTemplateDocerSaveRecord">
    <vt:lpwstr>eyJoZGlkIjoiNWE1ZWExMWZhMmZhZTY2YmZkMWE5YmQ5ZjcyMTY1ODgiLCJ1c2VySWQiOiIxMjM2MDI3NzA2In0=</vt:lpwstr>
  </property>
</Properties>
</file>