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p>
    <w:p w14:paraId="028E54C1">
      <w:pPr>
        <w:pStyle w:val="9"/>
        <w:spacing w:before="0" w:beforeAutospacing="0" w:after="0" w:afterAutospacing="0" w:line="500" w:lineRule="exact"/>
        <w:ind w:right="150" w:firstLine="448"/>
        <w:jc w:val="center"/>
        <w:rPr>
          <w:rFonts w:hint="default" w:ascii="华文中宋" w:hAnsi="华文中宋" w:eastAsia="华文中宋" w:cs="华文中宋"/>
          <w:b/>
          <w:bCs/>
          <w:color w:val="000000"/>
          <w:sz w:val="48"/>
          <w:szCs w:val="48"/>
          <w:lang w:val="en-US" w:eastAsia="zh-CN" w:bidi="ar-SA"/>
        </w:rPr>
      </w:pPr>
      <w:bookmarkStart w:id="0" w:name="_Toc5725"/>
      <w:bookmarkEnd w:id="0"/>
      <w:bookmarkStart w:id="1" w:name="_Toc6244"/>
      <w:bookmarkEnd w:id="1"/>
      <w:r>
        <w:rPr>
          <w:rFonts w:hint="eastAsia" w:ascii="华文中宋" w:hAnsi="华文中宋" w:eastAsia="华文中宋" w:cs="华文中宋"/>
          <w:b/>
          <w:bCs/>
          <w:color w:val="000000"/>
          <w:sz w:val="48"/>
          <w:szCs w:val="48"/>
          <w:lang w:val="en-US" w:eastAsia="zh-CN" w:bidi="ar-SA"/>
        </w:rPr>
        <w:t>桐城经开区TCA23-06#、TCA23-10#、         HITD24B01002地块规划方案及部分施工图设计服务项目的竞价文件</w:t>
      </w:r>
    </w:p>
    <w:p w14:paraId="74CCA2E0">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DA52D09">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rPr>
        <w:t>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JKQJT-2026014</w:t>
      </w:r>
    </w:p>
    <w:p w14:paraId="30927B93">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桐城市新兴</w:t>
      </w:r>
      <w:r>
        <w:rPr>
          <w:rFonts w:hint="eastAsia" w:ascii="宋体" w:hAnsi="宋体" w:eastAsia="宋体" w:cs="宋体"/>
          <w:sz w:val="30"/>
          <w:szCs w:val="30"/>
          <w:u w:val="single"/>
          <w:lang w:val="en-US" w:eastAsia="zh-CN"/>
        </w:rPr>
        <w:t>产业</w:t>
      </w:r>
      <w:r>
        <w:rPr>
          <w:rFonts w:hint="eastAsia" w:ascii="宋体" w:hAnsi="宋体" w:eastAsia="宋体" w:cs="宋体"/>
          <w:sz w:val="30"/>
          <w:szCs w:val="30"/>
          <w:u w:val="single"/>
          <w:lang w:eastAsia="zh-CN"/>
        </w:rPr>
        <w:t>建设</w:t>
      </w:r>
      <w:r>
        <w:rPr>
          <w:rFonts w:hint="eastAsia" w:ascii="宋体" w:hAnsi="宋体" w:eastAsia="宋体" w:cs="宋体"/>
          <w:sz w:val="30"/>
          <w:szCs w:val="30"/>
          <w:u w:val="single"/>
          <w:lang w:val="en-US" w:eastAsia="zh-CN"/>
        </w:rPr>
        <w:t>发展</w:t>
      </w:r>
      <w:r>
        <w:rPr>
          <w:rFonts w:hint="eastAsia" w:ascii="宋体" w:hAnsi="宋体" w:eastAsia="宋体" w:cs="宋体"/>
          <w:sz w:val="30"/>
          <w:szCs w:val="30"/>
          <w:u w:val="single"/>
          <w:lang w:eastAsia="zh-CN"/>
        </w:rPr>
        <w:t>有限公司</w:t>
      </w:r>
      <w:r>
        <w:rPr>
          <w:rFonts w:hint="eastAsia" w:ascii="宋体" w:hAnsi="宋体" w:eastAsia="宋体" w:cs="宋体"/>
          <w:sz w:val="30"/>
          <w:szCs w:val="30"/>
          <w:u w:val="single"/>
        </w:rPr>
        <w:t>(单位公章)</w:t>
      </w:r>
    </w:p>
    <w:p w14:paraId="0039CBBA">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rPr>
      </w:pPr>
      <w:r>
        <w:rPr>
          <w:rFonts w:hint="eastAsia" w:ascii="宋体" w:hAnsi="宋体" w:eastAsia="宋体" w:cs="宋体"/>
          <w:sz w:val="30"/>
          <w:szCs w:val="30"/>
          <w:lang w:eastAsia="zh-CN"/>
        </w:rPr>
        <w:t>组织</w:t>
      </w:r>
      <w:r>
        <w:rPr>
          <w:rFonts w:hint="eastAsia" w:ascii="宋体" w:hAnsi="宋体" w:eastAsia="宋体" w:cs="宋体"/>
          <w:sz w:val="30"/>
          <w:szCs w:val="30"/>
        </w:rPr>
        <w:t>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E55442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5</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22</w:t>
      </w:r>
      <w:r>
        <w:rPr>
          <w:rFonts w:hint="eastAsia" w:ascii="宋体" w:hAnsi="宋体" w:eastAsia="宋体" w:cs="宋体"/>
          <w:sz w:val="30"/>
          <w:szCs w:val="30"/>
        </w:rPr>
        <w:t>日</w:t>
      </w:r>
    </w:p>
    <w:p w14:paraId="628CDD0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15C81A22">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：桐城经开区TCA23-06#、TCA23-10#、HITD24B01002地块规划方案及部分施工图设计服务项目</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JKQJT-2026014</w:t>
      </w:r>
    </w:p>
    <w:p w14:paraId="0A68BF0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项目批准文号：</w:t>
      </w:r>
    </w:p>
    <w:p w14:paraId="424C3633">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Theme="minorEastAsia"/>
          <w:sz w:val="28"/>
          <w:szCs w:val="28"/>
          <w:u w:val="none"/>
          <w:lang w:val="en-US" w:eastAsia="zh-CN"/>
        </w:rPr>
        <w:t>根据桐城经开区建设投资集团公司2026.05.21党委会文件精神，桐城经开区TC</w:t>
      </w:r>
      <w:r>
        <w:rPr>
          <w:rFonts w:hint="eastAsia" w:ascii="宋体" w:hAnsi="宋体"/>
          <w:sz w:val="28"/>
          <w:szCs w:val="28"/>
          <w:u w:val="none"/>
          <w:lang w:val="en-US" w:eastAsia="zh-CN"/>
        </w:rPr>
        <w:t>A</w:t>
      </w:r>
      <w:r>
        <w:rPr>
          <w:rFonts w:hint="eastAsia" w:ascii="宋体" w:hAnsi="宋体" w:eastAsiaTheme="minorEastAsia"/>
          <w:sz w:val="28"/>
          <w:szCs w:val="28"/>
          <w:u w:val="none"/>
          <w:lang w:val="en-US" w:eastAsia="zh-CN"/>
        </w:rPr>
        <w:t>23-06#、TCA23-10#、HITD24B01002地块规划方案及部分施工图设计服务项目</w:t>
      </w:r>
      <w:r>
        <w:rPr>
          <w:rFonts w:hint="eastAsia" w:ascii="宋体" w:hAnsi="宋体" w:eastAsia="宋体" w:cs="宋体"/>
          <w:sz w:val="28"/>
          <w:szCs w:val="28"/>
          <w:lang w:val="en-US" w:eastAsia="zh-CN"/>
        </w:rPr>
        <w:t>采用邀请招标方式进行招标，择优选定设计单位。</w:t>
      </w:r>
    </w:p>
    <w:p w14:paraId="18846E6F">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sz w:val="28"/>
          <w:szCs w:val="28"/>
          <w:u w:val="none"/>
          <w:lang w:val="en-US" w:eastAsia="zh-CN"/>
        </w:rPr>
      </w:pPr>
      <w:r>
        <w:rPr>
          <w:rFonts w:hint="eastAsia" w:ascii="宋体" w:hAnsi="宋体" w:eastAsia="宋体" w:cs="宋体"/>
          <w:b/>
          <w:bCs/>
          <w:kern w:val="2"/>
          <w:sz w:val="28"/>
          <w:szCs w:val="28"/>
          <w:lang w:val="en-US" w:eastAsia="zh-CN" w:bidi="ar-SA"/>
        </w:rPr>
        <w:t>招标单位:</w:t>
      </w:r>
      <w:r>
        <w:rPr>
          <w:rFonts w:hint="eastAsia" w:ascii="宋体" w:hAnsi="宋体" w:eastAsia="宋体" w:cs="宋体"/>
          <w:sz w:val="30"/>
          <w:szCs w:val="30"/>
          <w:u w:val="none"/>
          <w:lang w:eastAsia="zh-CN"/>
        </w:rPr>
        <w:t>桐城市新兴</w:t>
      </w:r>
      <w:r>
        <w:rPr>
          <w:rFonts w:hint="eastAsia" w:ascii="宋体" w:hAnsi="宋体" w:eastAsia="宋体" w:cs="宋体"/>
          <w:sz w:val="30"/>
          <w:szCs w:val="30"/>
          <w:u w:val="none"/>
          <w:lang w:val="en-US" w:eastAsia="zh-CN"/>
        </w:rPr>
        <w:t>产业</w:t>
      </w:r>
      <w:r>
        <w:rPr>
          <w:rFonts w:hint="eastAsia" w:ascii="宋体" w:hAnsi="宋体" w:eastAsia="宋体" w:cs="宋体"/>
          <w:sz w:val="30"/>
          <w:szCs w:val="30"/>
          <w:u w:val="none"/>
          <w:lang w:eastAsia="zh-CN"/>
        </w:rPr>
        <w:t>建设</w:t>
      </w:r>
      <w:r>
        <w:rPr>
          <w:rFonts w:hint="eastAsia" w:ascii="宋体" w:hAnsi="宋体" w:eastAsia="宋体" w:cs="宋体"/>
          <w:sz w:val="30"/>
          <w:szCs w:val="30"/>
          <w:u w:val="none"/>
          <w:lang w:val="en-US" w:eastAsia="zh-CN"/>
        </w:rPr>
        <w:t>发展</w:t>
      </w:r>
      <w:r>
        <w:rPr>
          <w:rFonts w:hint="eastAsia" w:ascii="宋体" w:hAnsi="宋体" w:eastAsia="宋体" w:cs="宋体"/>
          <w:sz w:val="30"/>
          <w:szCs w:val="30"/>
          <w:u w:val="none"/>
          <w:lang w:eastAsia="zh-CN"/>
        </w:rPr>
        <w:t>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none"/>
          <w:lang w:eastAsia="zh-CN"/>
        </w:rPr>
      </w:pPr>
      <w:r>
        <w:rPr>
          <w:rFonts w:hint="eastAsia" w:ascii="宋体" w:hAnsi="宋体" w:eastAsia="宋体" w:cs="宋体"/>
          <w:b/>
          <w:bCs/>
          <w:sz w:val="28"/>
          <w:szCs w:val="28"/>
          <w:lang w:eastAsia="zh-CN"/>
        </w:rPr>
        <w:t>组织</w:t>
      </w:r>
      <w:r>
        <w:rPr>
          <w:rFonts w:hint="eastAsia" w:ascii="宋体" w:hAnsi="宋体" w:eastAsia="宋体" w:cs="宋体"/>
          <w:b/>
          <w:bCs/>
          <w:sz w:val="28"/>
          <w:szCs w:val="28"/>
        </w:rPr>
        <w:t>机构</w:t>
      </w:r>
      <w:r>
        <w:rPr>
          <w:rFonts w:hint="eastAsia" w:ascii="宋体" w:hAnsi="宋体" w:eastAsia="宋体" w:cs="宋体"/>
          <w:b/>
          <w:bCs/>
          <w:sz w:val="28"/>
          <w:szCs w:val="28"/>
          <w:lang w:eastAsia="zh-CN"/>
        </w:rPr>
        <w:t>：</w:t>
      </w:r>
      <w:r>
        <w:rPr>
          <w:rFonts w:hint="eastAsia" w:ascii="宋体" w:hAnsi="宋体" w:eastAsia="宋体" w:cs="宋体"/>
          <w:sz w:val="30"/>
          <w:szCs w:val="30"/>
          <w:u w:val="none"/>
          <w:lang w:eastAsia="zh-CN"/>
        </w:rPr>
        <w:t>桐城经开区建投集团招投标办公室</w:t>
      </w:r>
    </w:p>
    <w:p w14:paraId="76DA214D">
      <w:pPr>
        <w:bidi w:val="0"/>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287BF87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经开区TCA23-06#、TCA23-10#、HITD24B01002地块规划方案及部分施工图设计服务项目；TC23-06#宗地面积37349.83平方米，TCA23-10#宗地面积137313.03平方米，HITD24B01002宗地面积187986.30平方米，总面积362649.16平方米。设计服务内容:该三块宗地的规划方案及一栋研发中心(2800平方米)、二栋厂房约(3000平方米）。</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default" w:ascii="Arial" w:hAnsi="Arial" w:eastAsia="宋体" w:cs="Arial"/>
          <w:b/>
          <w:bCs/>
          <w:sz w:val="28"/>
          <w:szCs w:val="28"/>
          <w:lang w:eastAsia="zh-CN"/>
        </w:rPr>
        <w:t>¥</w:t>
      </w:r>
      <w:r>
        <w:rPr>
          <w:rFonts w:hint="eastAsia" w:ascii="宋体" w:hAnsi="宋体" w:eastAsia="宋体" w:cs="宋体"/>
          <w:sz w:val="28"/>
          <w:szCs w:val="28"/>
          <w:lang w:val="en-US" w:eastAsia="zh-CN"/>
        </w:rPr>
        <w:t>480000.00元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lang w:eastAsia="zh-CN"/>
        </w:rPr>
        <w:t>投标人须具有独立法人资格，同时具备建设行政主管部门颁发的</w:t>
      </w:r>
      <w:r>
        <w:rPr>
          <w:rFonts w:hint="eastAsia" w:ascii="宋体" w:hAnsi="宋体"/>
          <w:sz w:val="28"/>
          <w:szCs w:val="28"/>
          <w:u w:val="none"/>
          <w:lang w:val="en-US" w:eastAsia="zh-CN"/>
        </w:rPr>
        <w:t>建筑行业</w:t>
      </w:r>
      <w:r>
        <w:rPr>
          <w:rFonts w:hint="eastAsia" w:ascii="宋体" w:hAnsi="宋体" w:eastAsiaTheme="minorEastAsia"/>
          <w:sz w:val="28"/>
          <w:szCs w:val="28"/>
          <w:u w:val="none"/>
          <w:lang w:eastAsia="zh-CN"/>
        </w:rPr>
        <w:t>乙级设计资质。</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需具有类似工程设计经验。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7D4EEFE">
      <w:pPr>
        <w:pStyle w:val="2"/>
        <w:rPr>
          <w:rFonts w:hint="eastAsia"/>
          <w:lang w:eastAsia="zh-CN"/>
        </w:rPr>
      </w:pPr>
      <w:r>
        <w:rPr>
          <w:rFonts w:hint="eastAsia" w:ascii="宋体" w:hAnsi="宋体" w:eastAsia="宋体" w:cs="宋体"/>
          <w:b/>
          <w:bCs/>
          <w:kern w:val="2"/>
          <w:sz w:val="28"/>
          <w:szCs w:val="28"/>
          <w:lang w:val="en-US" w:eastAsia="zh-CN" w:bidi="ar-SA"/>
        </w:rPr>
        <w:t>设计要求：</w:t>
      </w:r>
      <w:r>
        <w:t>应符合现行国家有关工程设计技术规范和相关主管部门制定的设计标准、深度、规范、规程、工程造价控制等要求，</w:t>
      </w:r>
      <w:r>
        <w:rPr>
          <w:rFonts w:hint="eastAsia"/>
          <w:lang w:val="en-US" w:eastAsia="zh-CN"/>
        </w:rPr>
        <w:t>要求设计</w:t>
      </w:r>
      <w:r>
        <w:rPr>
          <w:rFonts w:hint="eastAsia"/>
        </w:rPr>
        <w:t>方案需进行专家论证，并通过规划部门审核通过，施工图设计符合规划要求及相关国家规范要求。</w:t>
      </w:r>
      <w:r>
        <w:rPr>
          <w:spacing w:val="-8"/>
        </w:rPr>
        <w:t>设计内容必须清晰完整，设计说明书应准确、完整地阐述设计意图和内容。</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5</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22 </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5</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26</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 5月26日下午15时止。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1052C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四、竞价响应文件提交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5</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26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w:t>
      </w:r>
      <w:r>
        <w:rPr>
          <w:rFonts w:hint="eastAsia" w:ascii="宋体" w:hAnsi="宋体" w:eastAsia="宋体" w:cs="宋体"/>
          <w:sz w:val="28"/>
          <w:szCs w:val="28"/>
          <w:lang w:val="en-US" w:eastAsia="zh-CN"/>
        </w:rPr>
        <w:t>招标</w:t>
      </w:r>
      <w:r>
        <w:rPr>
          <w:rFonts w:hint="eastAsia" w:ascii="宋体" w:hAnsi="宋体" w:eastAsia="宋体" w:cs="宋体"/>
          <w:sz w:val="28"/>
          <w:szCs w:val="28"/>
        </w:rPr>
        <w:t>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提交竞价响应文件截止之日止不得少于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5</w:t>
      </w:r>
      <w:r>
        <w:rPr>
          <w:rFonts w:hint="eastAsia" w:ascii="宋体" w:hAnsi="宋体" w:eastAsia="宋体" w:cs="宋体"/>
          <w:sz w:val="28"/>
          <w:szCs w:val="28"/>
        </w:rPr>
        <w:t>月</w:t>
      </w:r>
      <w:r>
        <w:rPr>
          <w:rFonts w:hint="eastAsia" w:ascii="宋体" w:hAnsi="宋体" w:eastAsia="宋体" w:cs="宋体"/>
          <w:sz w:val="28"/>
          <w:szCs w:val="28"/>
          <w:lang w:val="en-US" w:eastAsia="zh-CN"/>
        </w:rPr>
        <w:t>26 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7EE5EC72">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资格审查及评标方法：</w:t>
      </w:r>
      <w:r>
        <w:rPr>
          <w:rFonts w:hint="eastAsia" w:eastAsia="宋体"/>
          <w:b/>
          <w:bCs/>
          <w:kern w:val="1"/>
          <w:sz w:val="24"/>
          <w:lang w:val="en-US" w:eastAsia="zh-CN"/>
        </w:rPr>
        <w:t>1、资格审查：</w:t>
      </w:r>
      <w:r>
        <w:rPr>
          <w:rFonts w:hint="eastAsia" w:ascii="宋体" w:hAnsi="宋体" w:eastAsia="宋体" w:cs="宋体"/>
          <w:sz w:val="28"/>
          <w:szCs w:val="28"/>
          <w:lang w:val="en-US" w:eastAsia="zh-CN"/>
        </w:rPr>
        <w:t>资格先审。投标单位于2026年5月25 日下午17时前提交资格审查文件，逾期提交拒收。邀请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w:t>
      </w:r>
    </w:p>
    <w:p w14:paraId="591949B9">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联系人：胡先生13865108771</w:t>
      </w:r>
    </w:p>
    <w:p w14:paraId="2EDF98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eastAsia="宋体"/>
          <w:b/>
          <w:bCs/>
          <w:kern w:val="1"/>
          <w:sz w:val="24"/>
          <w:lang w:val="en-US" w:eastAsia="zh-CN"/>
        </w:rPr>
        <w:t>2、</w:t>
      </w:r>
      <w:r>
        <w:rPr>
          <w:rFonts w:hint="eastAsia" w:ascii="宋体" w:hAnsi="宋体" w:eastAsia="宋体" w:cs="宋体"/>
          <w:b/>
          <w:bCs/>
          <w:color w:val="auto"/>
          <w:sz w:val="28"/>
          <w:szCs w:val="28"/>
          <w:lang w:val="en-US" w:eastAsia="zh-CN"/>
        </w:rPr>
        <w:t>竞价方式</w:t>
      </w:r>
      <w:r>
        <w:rPr>
          <w:rFonts w:hint="eastAsia" w:eastAsia="宋体"/>
          <w:b/>
          <w:bCs/>
          <w:kern w:val="1"/>
          <w:sz w:val="24"/>
          <w:lang w:val="en-US" w:eastAsia="zh-CN"/>
        </w:rPr>
        <w:t>：</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34674776">
      <w:pPr>
        <w:keepNext w:val="0"/>
        <w:keepLines w:val="0"/>
        <w:pageBreakBefore w:val="0"/>
        <w:widowControl w:val="0"/>
        <w:kinsoku/>
        <w:wordWrap/>
        <w:overflowPunct/>
        <w:topLinePunct w:val="0"/>
        <w:autoSpaceDE/>
        <w:autoSpaceDN/>
        <w:bidi w:val="0"/>
        <w:adjustRightInd/>
        <w:snapToGrid/>
        <w:spacing w:line="540" w:lineRule="exact"/>
        <w:ind w:left="1405" w:hanging="1400" w:hangingChars="5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名称：</w:t>
      </w:r>
      <w:r>
        <w:rPr>
          <w:rFonts w:hint="eastAsia" w:ascii="宋体" w:hAnsi="宋体" w:eastAsia="宋体" w:cs="宋体"/>
          <w:sz w:val="30"/>
          <w:szCs w:val="30"/>
          <w:u w:val="none"/>
          <w:lang w:eastAsia="zh-CN"/>
        </w:rPr>
        <w:t>桐城市新兴</w:t>
      </w:r>
      <w:r>
        <w:rPr>
          <w:rFonts w:hint="eastAsia" w:ascii="宋体" w:hAnsi="宋体" w:eastAsia="宋体" w:cs="宋体"/>
          <w:sz w:val="30"/>
          <w:szCs w:val="30"/>
          <w:u w:val="none"/>
          <w:lang w:val="en-US" w:eastAsia="zh-CN"/>
        </w:rPr>
        <w:t>产业</w:t>
      </w:r>
      <w:r>
        <w:rPr>
          <w:rFonts w:hint="eastAsia" w:ascii="宋体" w:hAnsi="宋体" w:eastAsia="宋体" w:cs="宋体"/>
          <w:sz w:val="30"/>
          <w:szCs w:val="30"/>
          <w:u w:val="none"/>
          <w:lang w:eastAsia="zh-CN"/>
        </w:rPr>
        <w:t>建设</w:t>
      </w:r>
      <w:r>
        <w:rPr>
          <w:rFonts w:hint="eastAsia" w:ascii="宋体" w:hAnsi="宋体" w:eastAsia="宋体" w:cs="宋体"/>
          <w:sz w:val="30"/>
          <w:szCs w:val="30"/>
          <w:u w:val="none"/>
          <w:lang w:val="en-US" w:eastAsia="zh-CN"/>
        </w:rPr>
        <w:t>发展</w:t>
      </w:r>
      <w:r>
        <w:rPr>
          <w:rFonts w:hint="eastAsia" w:ascii="宋体" w:hAnsi="宋体" w:eastAsia="宋体" w:cs="宋体"/>
          <w:sz w:val="30"/>
          <w:szCs w:val="30"/>
          <w:u w:val="none"/>
          <w:lang w:eastAsia="zh-CN"/>
        </w:rPr>
        <w:t>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组织</w:t>
      </w:r>
      <w:r>
        <w:rPr>
          <w:rFonts w:hint="eastAsia" w:ascii="宋体" w:hAnsi="宋体" w:eastAsia="宋体" w:cs="宋体"/>
          <w:b/>
          <w:bCs/>
          <w:sz w:val="28"/>
          <w:szCs w:val="28"/>
        </w:rPr>
        <w:t>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5</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25F9F9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桐城经开区TCA23-06#、TCA23-10#、HITD24B01002地块规划方案及部分施工图设计服务项目工程现场踏勘</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备注：如投标单位未参加招标单位统一组织的现场踏</w:t>
            </w:r>
            <w:r>
              <w:rPr>
                <w:rFonts w:hint="eastAsia" w:ascii="宋体" w:hAnsi="宋体" w:eastAsia="宋体" w:cs="宋体"/>
                <w:sz w:val="24"/>
                <w:szCs w:val="24"/>
              </w:rPr>
              <w:t>勘，视同放弃现场踏勘，由此引起的一切责任由</w:t>
            </w:r>
            <w:r>
              <w:rPr>
                <w:rFonts w:hint="eastAsia" w:ascii="宋体" w:hAnsi="宋体" w:eastAsia="宋体" w:cs="宋体"/>
                <w:sz w:val="24"/>
                <w:szCs w:val="24"/>
                <w:lang w:eastAsia="zh-CN"/>
              </w:rPr>
              <w:t>投标单位</w:t>
            </w:r>
            <w:r>
              <w:rPr>
                <w:rFonts w:hint="eastAsia" w:ascii="宋体" w:hAnsi="宋体" w:eastAsia="宋体" w:cs="宋体"/>
                <w:sz w:val="24"/>
                <w:szCs w:val="24"/>
              </w:rPr>
              <w:t>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5</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26 </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人民币:壹万元整（小写：10000.00元）竞价保证金和履约保证金统一账户。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eastAsia="zh-CN"/>
              </w:rPr>
              <w:t>投标单位</w:t>
            </w:r>
            <w:r>
              <w:rPr>
                <w:rFonts w:hint="eastAsia" w:ascii="宋体" w:hAnsi="宋体" w:eastAsia="宋体" w:cs="宋体"/>
                <w:sz w:val="24"/>
                <w:szCs w:val="24"/>
              </w:rPr>
              <w:t>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人民币壹万元整（￥10000.00元）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0834943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：桐城市新兴</w:t>
            </w:r>
            <w:r>
              <w:rPr>
                <w:rFonts w:hint="eastAsia" w:ascii="宋体" w:hAnsi="宋体" w:eastAsia="宋体" w:cs="宋体"/>
                <w:sz w:val="24"/>
                <w:szCs w:val="24"/>
                <w:lang w:val="en-US" w:eastAsia="zh-CN"/>
              </w:rPr>
              <w:t>产业</w:t>
            </w:r>
            <w:r>
              <w:rPr>
                <w:rFonts w:hint="eastAsia" w:ascii="宋体" w:hAnsi="宋体" w:eastAsia="宋体" w:cs="宋体"/>
                <w:sz w:val="24"/>
                <w:szCs w:val="24"/>
                <w:lang w:eastAsia="zh-CN"/>
              </w:rPr>
              <w:t>建设</w:t>
            </w:r>
            <w:r>
              <w:rPr>
                <w:rFonts w:hint="eastAsia" w:ascii="宋体" w:hAnsi="宋体" w:eastAsia="宋体" w:cs="宋体"/>
                <w:sz w:val="24"/>
                <w:szCs w:val="24"/>
                <w:lang w:val="en-US" w:eastAsia="zh-CN"/>
              </w:rPr>
              <w:t>发展</w:t>
            </w:r>
            <w:r>
              <w:rPr>
                <w:rFonts w:hint="eastAsia" w:ascii="宋体" w:hAnsi="宋体" w:eastAsia="宋体" w:cs="宋体"/>
                <w:sz w:val="24"/>
                <w:szCs w:val="24"/>
                <w:lang w:eastAsia="zh-CN"/>
              </w:rPr>
              <w:t>有限公司</w:t>
            </w:r>
          </w:p>
          <w:p w14:paraId="3F239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w:t>
            </w:r>
            <w:r>
              <w:rPr>
                <w:rFonts w:hint="eastAsia" w:ascii="宋体" w:hAnsi="宋体" w:eastAsia="宋体" w:cs="宋体"/>
                <w:sz w:val="24"/>
                <w:szCs w:val="24"/>
                <w:lang w:val="en-US" w:eastAsia="zh-CN"/>
              </w:rPr>
              <w:t>12751201040007994</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开户银行：中国农业银行桐城经开区支行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bookmarkStart w:id="2" w:name="_GoBack"/>
            <w:bookmarkEnd w:id="2"/>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18955658065</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3E3618AC">
            <w:pPr>
              <w:pStyle w:val="9"/>
              <w:spacing w:before="0" w:beforeAutospacing="0" w:after="0" w:afterAutospacing="0" w:line="500" w:lineRule="exact"/>
              <w:ind w:right="150" w:firstLine="224" w:firstLineChars="100"/>
              <w:rPr>
                <w:rFonts w:hint="eastAsia" w:ascii="宋体" w:hAnsi="宋体" w:eastAsia="宋体" w:cs="宋体"/>
                <w:sz w:val="24"/>
                <w:szCs w:val="24"/>
                <w:lang w:val="en-US" w:eastAsia="zh-CN"/>
              </w:rPr>
            </w:pPr>
            <w:r>
              <w:rPr>
                <w:spacing w:val="-8"/>
              </w:rPr>
              <w:t>设计周期</w:t>
            </w:r>
          </w:p>
        </w:tc>
        <w:tc>
          <w:tcPr>
            <w:tcW w:w="6000" w:type="dxa"/>
          </w:tcPr>
          <w:p w14:paraId="36A8AE76">
            <w:pPr>
              <w:pStyle w:val="9"/>
              <w:spacing w:before="0" w:beforeAutospacing="0" w:after="0" w:afterAutospacing="0" w:line="500" w:lineRule="exact"/>
              <w:ind w:right="150"/>
              <w:rPr>
                <w:spacing w:val="-8"/>
              </w:rPr>
            </w:pPr>
            <w:r>
              <w:rPr>
                <w:spacing w:val="-8"/>
              </w:rPr>
              <w:t>设计周期：</w:t>
            </w:r>
            <w:r>
              <w:rPr>
                <w:spacing w:val="-8"/>
                <w:u w:val="single"/>
              </w:rPr>
              <w:t xml:space="preserve"> </w:t>
            </w:r>
            <w:r>
              <w:rPr>
                <w:rFonts w:hint="eastAsia"/>
                <w:spacing w:val="-8"/>
                <w:u w:val="single"/>
                <w:lang w:val="en-US" w:eastAsia="zh-CN"/>
              </w:rPr>
              <w:t>30</w:t>
            </w:r>
            <w:r>
              <w:rPr>
                <w:spacing w:val="-8"/>
              </w:rPr>
              <w:t>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151BD88">
      <w:pPr>
        <w:widowControl/>
        <w:kinsoku w:val="0"/>
        <w:autoSpaceDE w:val="0"/>
        <w:autoSpaceDN w:val="0"/>
        <w:adjustRightInd w:val="0"/>
        <w:snapToGrid w:val="0"/>
        <w:spacing w:before="12" w:line="200" w:lineRule="auto"/>
        <w:jc w:val="left"/>
        <w:textAlignment w:val="baseline"/>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第三章  </w:t>
      </w:r>
      <w:r>
        <w:rPr>
          <w:rFonts w:hint="default" w:ascii="华文中宋" w:hAnsi="华文中宋" w:eastAsia="华文中宋" w:cs="华文中宋"/>
          <w:b/>
          <w:bCs/>
          <w:snapToGrid w:val="0"/>
          <w:color w:val="000000"/>
          <w:kern w:val="0"/>
          <w:sz w:val="36"/>
          <w:szCs w:val="36"/>
          <w:lang w:val="en-US" w:eastAsia="zh-CN"/>
        </w:rPr>
        <w:t>合同主要条款</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1.进度款支付：</w:t>
      </w:r>
    </w:p>
    <w:p w14:paraId="03CCD3E6">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支</w:t>
      </w:r>
      <w:r>
        <w:rPr>
          <w:rFonts w:hint="eastAsia" w:ascii="宋体" w:hAnsi="宋体" w:eastAsia="宋体" w:cs="宋体"/>
          <w:b w:val="0"/>
          <w:bCs w:val="0"/>
          <w:kern w:val="2"/>
          <w:sz w:val="28"/>
          <w:szCs w:val="28"/>
          <w:lang w:val="en-US" w:eastAsia="zh-CN" w:bidi="ar-SA"/>
        </w:rPr>
        <w:t>付费用：1）设计成果经图纸审查合格后，支付设计费用总额的85％；2）工程竣工验收合格并备案后支付设计费用的15%。</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2.关于进度付款申请单编制的约定：</w:t>
      </w:r>
      <w:r>
        <w:rPr>
          <w:rFonts w:hint="eastAsia" w:ascii="宋体" w:hAnsi="宋体" w:eastAsia="宋体" w:cs="宋体"/>
          <w:b w:val="0"/>
          <w:bCs w:val="0"/>
          <w:kern w:val="2"/>
          <w:sz w:val="28"/>
          <w:szCs w:val="28"/>
          <w:lang w:val="en-US" w:eastAsia="zh-CN" w:bidi="ar-SA"/>
        </w:rPr>
        <w:t xml:space="preserve"> 中标人提交拨款申请同时提供正式税务发票，税率6%。</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0E7BC676">
      <w:pPr>
        <w:keepNext w:val="0"/>
        <w:keepLines w:val="0"/>
        <w:pageBreakBefore w:val="0"/>
        <w:widowControl w:val="0"/>
        <w:kinsoku/>
        <w:wordWrap/>
        <w:overflowPunct/>
        <w:topLinePunct w:val="0"/>
        <w:autoSpaceDE/>
        <w:autoSpaceDN/>
        <w:bidi w:val="0"/>
        <w:adjustRightInd/>
        <w:snapToGrid/>
        <w:spacing w:line="540" w:lineRule="exact"/>
        <w:ind w:left="1405" w:hanging="1506" w:hangingChars="500"/>
        <w:textAlignment w:val="auto"/>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b/>
          <w:bCs/>
          <w:sz w:val="30"/>
          <w:szCs w:val="30"/>
          <w:lang w:val="en-US" w:eastAsia="zh-CN"/>
        </w:rPr>
        <w:t>：桐城经开区TCA23-06#、TCA23-10#、HITD24B01002地块规划方案及部分施工图设计服务项目</w:t>
      </w:r>
    </w:p>
    <w:p w14:paraId="304517F9">
      <w:pPr>
        <w:pStyle w:val="2"/>
        <w:rPr>
          <w:rFonts w:hint="eastAsia"/>
          <w:lang w:val="en-US" w:eastAsia="zh-CN"/>
        </w:rPr>
      </w:pP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轮</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28"/>
          <w:szCs w:val="28"/>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1E0A8E40">
      <w:pPr>
        <w:widowControl/>
        <w:kinsoku w:val="0"/>
        <w:autoSpaceDE w:val="0"/>
        <w:autoSpaceDN w:val="0"/>
        <w:adjustRightInd w:val="0"/>
        <w:snapToGrid w:val="0"/>
        <w:spacing w:before="12" w:line="200" w:lineRule="auto"/>
        <w:ind w:firstLine="2168" w:firstLineChars="60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五、</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34CB450">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w:t>
      </w:r>
      <w:r>
        <w:rPr>
          <w:rFonts w:hint="default" w:ascii="华文中宋" w:hAnsi="华文中宋" w:eastAsia="华文中宋" w:cs="华文中宋"/>
          <w:b/>
          <w:bCs/>
          <w:snapToGrid w:val="0"/>
          <w:color w:val="000000"/>
          <w:kern w:val="0"/>
          <w:sz w:val="36"/>
          <w:szCs w:val="36"/>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eastAsia" w:ascii="宋体" w:hAnsi="宋体" w:eastAsia="宋体" w:cs="宋体"/>
          <w:sz w:val="28"/>
          <w:szCs w:val="28"/>
        </w:rPr>
        <w:t>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28"/>
          <w:szCs w:val="28"/>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0"/>
        </w:numPr>
        <w:ind w:left="596" w:leftChars="284" w:firstLine="300" w:firstLineChars="100"/>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七、竞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firstLine="3253" w:firstLineChars="9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九、</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B4B9"/>
    <w:multiLevelType w:val="singleLevel"/>
    <w:tmpl w:val="C0D7B4B9"/>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9D115B"/>
    <w:rsid w:val="01AE6E8C"/>
    <w:rsid w:val="01B644D5"/>
    <w:rsid w:val="02F05C02"/>
    <w:rsid w:val="03261624"/>
    <w:rsid w:val="033A31D0"/>
    <w:rsid w:val="03A7119C"/>
    <w:rsid w:val="046C0D7B"/>
    <w:rsid w:val="04B62664"/>
    <w:rsid w:val="0558092F"/>
    <w:rsid w:val="063F437A"/>
    <w:rsid w:val="06A04C33"/>
    <w:rsid w:val="06A46A3A"/>
    <w:rsid w:val="08536A17"/>
    <w:rsid w:val="088942FB"/>
    <w:rsid w:val="0A5807C0"/>
    <w:rsid w:val="0A761458"/>
    <w:rsid w:val="0B9F532A"/>
    <w:rsid w:val="0BF24799"/>
    <w:rsid w:val="0CCA0102"/>
    <w:rsid w:val="0E8F4521"/>
    <w:rsid w:val="0F24110D"/>
    <w:rsid w:val="0F497A84"/>
    <w:rsid w:val="10186C4F"/>
    <w:rsid w:val="104024BB"/>
    <w:rsid w:val="114C04A7"/>
    <w:rsid w:val="13FA41EA"/>
    <w:rsid w:val="13FA68E0"/>
    <w:rsid w:val="14C91E0F"/>
    <w:rsid w:val="15B624DF"/>
    <w:rsid w:val="16086691"/>
    <w:rsid w:val="17CE7E68"/>
    <w:rsid w:val="17E37F22"/>
    <w:rsid w:val="1A0A5788"/>
    <w:rsid w:val="1A995764"/>
    <w:rsid w:val="1BC75EFD"/>
    <w:rsid w:val="1BCC7AE1"/>
    <w:rsid w:val="1D6E2503"/>
    <w:rsid w:val="20EA0E7A"/>
    <w:rsid w:val="212D0447"/>
    <w:rsid w:val="225F30E3"/>
    <w:rsid w:val="22C56292"/>
    <w:rsid w:val="2487000D"/>
    <w:rsid w:val="28F811E9"/>
    <w:rsid w:val="29645E3F"/>
    <w:rsid w:val="297964A3"/>
    <w:rsid w:val="29C15C38"/>
    <w:rsid w:val="29D810F2"/>
    <w:rsid w:val="2B1A29ED"/>
    <w:rsid w:val="2B471FB3"/>
    <w:rsid w:val="2E075A2A"/>
    <w:rsid w:val="2E2B7716"/>
    <w:rsid w:val="2E424CB4"/>
    <w:rsid w:val="2FDE5848"/>
    <w:rsid w:val="30561F01"/>
    <w:rsid w:val="30E32710"/>
    <w:rsid w:val="316E7B6E"/>
    <w:rsid w:val="323B0F1C"/>
    <w:rsid w:val="327D0B10"/>
    <w:rsid w:val="336B1FF3"/>
    <w:rsid w:val="35D24B6F"/>
    <w:rsid w:val="36325B4D"/>
    <w:rsid w:val="38BF587F"/>
    <w:rsid w:val="38E9172E"/>
    <w:rsid w:val="39B2152A"/>
    <w:rsid w:val="39DA3FF3"/>
    <w:rsid w:val="3A655FB2"/>
    <w:rsid w:val="3B6E70E8"/>
    <w:rsid w:val="3C0A2099"/>
    <w:rsid w:val="3D7A298D"/>
    <w:rsid w:val="3E065C55"/>
    <w:rsid w:val="3F1337D1"/>
    <w:rsid w:val="3F302319"/>
    <w:rsid w:val="3FD23757"/>
    <w:rsid w:val="4002695B"/>
    <w:rsid w:val="405C39B3"/>
    <w:rsid w:val="40D043A1"/>
    <w:rsid w:val="40F23293"/>
    <w:rsid w:val="426076F1"/>
    <w:rsid w:val="42AE0712"/>
    <w:rsid w:val="464D4F2D"/>
    <w:rsid w:val="47852E03"/>
    <w:rsid w:val="49A14B2D"/>
    <w:rsid w:val="4A7544FF"/>
    <w:rsid w:val="4C3F4015"/>
    <w:rsid w:val="4C7A6630"/>
    <w:rsid w:val="4D0D6259"/>
    <w:rsid w:val="4E035DB6"/>
    <w:rsid w:val="50267B3A"/>
    <w:rsid w:val="518A33F4"/>
    <w:rsid w:val="51F14880"/>
    <w:rsid w:val="553305D6"/>
    <w:rsid w:val="55654D48"/>
    <w:rsid w:val="582364A2"/>
    <w:rsid w:val="58BC051F"/>
    <w:rsid w:val="58C12AF6"/>
    <w:rsid w:val="5B2D3895"/>
    <w:rsid w:val="5C3B6762"/>
    <w:rsid w:val="5CC11316"/>
    <w:rsid w:val="5E645B8F"/>
    <w:rsid w:val="5EA505E9"/>
    <w:rsid w:val="5EF835E3"/>
    <w:rsid w:val="5FC53FCD"/>
    <w:rsid w:val="5FFE63DD"/>
    <w:rsid w:val="61041D20"/>
    <w:rsid w:val="6155202D"/>
    <w:rsid w:val="6256605D"/>
    <w:rsid w:val="62ED331F"/>
    <w:rsid w:val="6468651B"/>
    <w:rsid w:val="64A10CEF"/>
    <w:rsid w:val="67021CFF"/>
    <w:rsid w:val="67032FD8"/>
    <w:rsid w:val="67FA4F92"/>
    <w:rsid w:val="68723A0B"/>
    <w:rsid w:val="69601EB7"/>
    <w:rsid w:val="69B56F7A"/>
    <w:rsid w:val="6B67752D"/>
    <w:rsid w:val="6BF552B9"/>
    <w:rsid w:val="6CCA7D73"/>
    <w:rsid w:val="6D216D68"/>
    <w:rsid w:val="6D323B6A"/>
    <w:rsid w:val="6DA57E98"/>
    <w:rsid w:val="6DB1683D"/>
    <w:rsid w:val="6E566E9A"/>
    <w:rsid w:val="6EAE1A49"/>
    <w:rsid w:val="705F6CA3"/>
    <w:rsid w:val="719F6C1D"/>
    <w:rsid w:val="71DF4FE9"/>
    <w:rsid w:val="71E81DDA"/>
    <w:rsid w:val="72035558"/>
    <w:rsid w:val="72F02971"/>
    <w:rsid w:val="73092C77"/>
    <w:rsid w:val="7582410E"/>
    <w:rsid w:val="76F81981"/>
    <w:rsid w:val="7709593C"/>
    <w:rsid w:val="77441448"/>
    <w:rsid w:val="78DB566F"/>
    <w:rsid w:val="78F85C68"/>
    <w:rsid w:val="7A167A38"/>
    <w:rsid w:val="7A23637B"/>
    <w:rsid w:val="7A6C6F13"/>
    <w:rsid w:val="7C003F93"/>
    <w:rsid w:val="7D23702C"/>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1497</Words>
  <Characters>1808</Characters>
  <Lines>0</Lines>
  <Paragraphs>0</Paragraphs>
  <TotalTime>0</TotalTime>
  <ScaleCrop>false</ScaleCrop>
  <LinksUpToDate>false</LinksUpToDate>
  <CharactersWithSpaces>1837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2026-05-22T08:38:42Z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3EA379EC5AA14D80856AEC024261D951_13</vt:lpwstr>
  </property>
  <property fmtid="{D5CDD505-2E9C-101B-9397-08002B2CF9AE}" pid="4" name="KSOTemplateDocerSaveRecord">
    <vt:lpwstr>eyJoZGlkIjoiNWE1ZWExMWZhMmZhZTY2YmZkMWE5YmQ5ZjcyMTY1ODgiLCJ1c2VySWQiOiIxMjM2MDI3NzA2In0=</vt:lpwstr>
  </property>
</Properties>
</file>