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71D5D">
      <w:pPr>
        <w:jc w:val="center"/>
        <w:rPr>
          <w:rFonts w:hint="eastAsia" w:ascii="宋体" w:hAnsi="宋体" w:eastAsia="宋体" w:cs="宋体"/>
          <w:sz w:val="44"/>
          <w:szCs w:val="44"/>
        </w:rPr>
      </w:pPr>
      <w:bookmarkStart w:id="0" w:name="_GoBack"/>
      <w:bookmarkEnd w:id="0"/>
      <w:r>
        <w:rPr>
          <w:rFonts w:hint="eastAsia" w:ascii="华文中宋" w:hAnsi="华文中宋" w:eastAsia="华文中宋" w:cs="华文中宋"/>
          <w:b/>
          <w:bCs/>
          <w:sz w:val="44"/>
          <w:szCs w:val="44"/>
          <w:lang w:val="en-US" w:eastAsia="zh-CN"/>
        </w:rPr>
        <w:t>桐城经开区梧桐苑人才公寓项目地下车库工程劳务（含辅材）</w:t>
      </w: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w:t>
      </w:r>
      <w:r>
        <w:rPr>
          <w:rFonts w:hint="eastAsia" w:ascii="宋体" w:hAnsi="宋体" w:eastAsia="宋体" w:cs="宋体"/>
          <w:sz w:val="30"/>
          <w:szCs w:val="30"/>
          <w:lang w:val="en-US" w:eastAsia="zh-CN"/>
        </w:rPr>
        <w:t>2026020</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招标组织机构：（单位公章）桐城经开区建投集团招投标办公室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jc w:val="center"/>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val="en-US" w:eastAsia="zh-CN"/>
        </w:rPr>
        <w:t>2026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7</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10</w:t>
      </w:r>
      <w:r>
        <w:rPr>
          <w:rFonts w:hint="eastAsia" w:ascii="宋体" w:hAnsi="宋体" w:eastAsia="宋体" w:cs="宋体"/>
          <w:sz w:val="30"/>
          <w:szCs w:val="30"/>
          <w:lang w:eastAsia="zh-CN"/>
        </w:rPr>
        <w:t>日</w:t>
      </w:r>
    </w:p>
    <w:p w14:paraId="31AEE1C3">
      <w:pPr>
        <w:rPr>
          <w:rFonts w:hint="eastAsia" w:ascii="宋体" w:hAnsi="宋体" w:eastAsia="宋体" w:cs="宋体"/>
          <w:sz w:val="30"/>
          <w:szCs w:val="30"/>
        </w:rPr>
      </w:pPr>
    </w:p>
    <w:p w14:paraId="232BEC62">
      <w:pPr>
        <w:ind w:firstLine="2891" w:firstLineChars="800"/>
        <w:jc w:val="both"/>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default"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桐城经开区梧桐苑人才公寓项目地下车库工程劳务（含辅材）</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JKQJT-2026020</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项目批准文号：天正控股集团于2026年2月10日在桐城市公共资源交易中心中标了桐城经开区梧桐苑人才公寓项目。现天正控股集团</w:t>
      </w:r>
      <w:r>
        <w:rPr>
          <w:rFonts w:hint="eastAsia" w:ascii="宋体" w:hAnsi="宋体" w:eastAsia="宋体" w:cs="宋体"/>
          <w:sz w:val="28"/>
          <w:szCs w:val="28"/>
          <w:lang w:eastAsia="zh-CN"/>
        </w:rPr>
        <w:t>依据国家有关法律法规等规定，采用公开竞价方式</w:t>
      </w:r>
      <w:r>
        <w:rPr>
          <w:rFonts w:hint="eastAsia" w:ascii="宋体" w:hAnsi="宋体" w:eastAsia="宋体" w:cs="宋体"/>
          <w:sz w:val="28"/>
          <w:szCs w:val="28"/>
          <w:lang w:val="en-US" w:eastAsia="zh-CN"/>
        </w:rPr>
        <w:t>对此项目地下车库工程劳务（含辅材）</w:t>
      </w:r>
      <w:r>
        <w:rPr>
          <w:rFonts w:hint="eastAsia" w:ascii="宋体" w:hAnsi="宋体" w:eastAsia="宋体" w:cs="宋体"/>
          <w:sz w:val="28"/>
          <w:szCs w:val="28"/>
          <w:lang w:eastAsia="zh-CN"/>
        </w:rPr>
        <w:t>进行公开竞价，择优选定</w:t>
      </w:r>
      <w:r>
        <w:rPr>
          <w:rFonts w:hint="eastAsia" w:ascii="宋体" w:hAnsi="宋体" w:eastAsia="宋体" w:cs="宋体"/>
          <w:sz w:val="28"/>
          <w:szCs w:val="28"/>
          <w:lang w:val="en-US" w:eastAsia="zh-CN"/>
        </w:rPr>
        <w:t>劳务</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招标单位</w:t>
      </w:r>
      <w:r>
        <w:rPr>
          <w:rFonts w:hint="eastAsia" w:ascii="宋体" w:hAnsi="宋体" w:eastAsia="宋体" w:cs="宋体"/>
          <w:sz w:val="28"/>
          <w:szCs w:val="28"/>
          <w:lang w:eastAsia="zh-CN"/>
        </w:rPr>
        <w:t>：桐城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招标组织</w:t>
      </w:r>
      <w:r>
        <w:rPr>
          <w:rFonts w:hint="eastAsia" w:ascii="宋体" w:hAnsi="宋体" w:eastAsia="宋体" w:cs="宋体"/>
          <w:b/>
          <w:bCs/>
          <w:sz w:val="28"/>
          <w:szCs w:val="28"/>
        </w:rPr>
        <w:t>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工</w:t>
      </w:r>
      <w:r>
        <w:rPr>
          <w:rFonts w:hint="eastAsia" w:ascii="宋体" w:hAnsi="宋体" w:eastAsia="宋体" w:cs="宋体"/>
          <w:sz w:val="28"/>
          <w:szCs w:val="28"/>
          <w:lang w:val="en-US" w:eastAsia="zh-CN"/>
        </w:rPr>
        <w:t>程施工内容：土石方工程、砌筑工程、混凝土工程、门窗工程、屋面及防水工程、楼地面装饰工程、墙柱面装饰与隔断幕墙工程、天棚工程等。具体施工内容见图纸及预算清单。</w:t>
      </w:r>
    </w:p>
    <w:p w14:paraId="2DFFD92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项目控制价：</w:t>
      </w:r>
      <w:r>
        <w:rPr>
          <w:rFonts w:hint="eastAsia" w:ascii="宋体" w:hAnsi="宋体" w:eastAsia="宋体" w:cs="宋体"/>
          <w:sz w:val="28"/>
          <w:szCs w:val="28"/>
          <w:highlight w:val="none"/>
          <w:lang w:val="en-US" w:eastAsia="zh-CN"/>
        </w:rPr>
        <w:t xml:space="preserve"> 劳务及辅材预算暂估价为9000000元，最终预算以市住建局造价站预算审核价为准，劳务及辅材投标最高控制价为7200000元（按预算暂估价下浮20%，含天正控股中标下浮率9.5%），最终结算价按实际完成量，按成交单位投标报价同比例增减。本项目砼、钢筋由燊恒商贸提供。</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eastAsia="zh-CN"/>
        </w:rPr>
        <w:t>投标单位</w:t>
      </w:r>
      <w:r>
        <w:rPr>
          <w:rFonts w:hint="eastAsia" w:ascii="宋体" w:hAnsi="宋体" w:eastAsia="宋体" w:cs="宋体"/>
          <w:b/>
          <w:bCs/>
          <w:sz w:val="28"/>
          <w:szCs w:val="28"/>
          <w:highlight w:val="none"/>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highlight w:val="none"/>
          <w:lang w:val="en-US" w:eastAsia="zh-CN"/>
        </w:rPr>
      </w:pPr>
      <w:r>
        <w:rPr>
          <w:rFonts w:hint="eastAsia" w:ascii="宋体" w:hAnsi="宋体" w:eastAsia="宋体" w:cs="宋体"/>
          <w:b/>
          <w:bCs/>
          <w:sz w:val="28"/>
          <w:szCs w:val="28"/>
          <w:highlight w:val="none"/>
        </w:rPr>
        <w:t>资质要求</w:t>
      </w:r>
      <w:r>
        <w:rPr>
          <w:rFonts w:hint="eastAsia" w:ascii="宋体" w:hAnsi="宋体" w:eastAsia="宋体" w:cs="宋体"/>
          <w:b/>
          <w:bCs/>
          <w:sz w:val="28"/>
          <w:szCs w:val="28"/>
          <w:highlight w:val="none"/>
          <w:lang w:eastAsia="zh-CN"/>
        </w:rPr>
        <w:t>：</w:t>
      </w:r>
      <w:r>
        <w:rPr>
          <w:rFonts w:hint="eastAsia" w:ascii="宋体" w:hAnsi="宋体"/>
          <w:sz w:val="28"/>
          <w:szCs w:val="28"/>
          <w:highlight w:val="none"/>
        </w:rPr>
        <w:t>提供</w:t>
      </w:r>
      <w:r>
        <w:rPr>
          <w:rFonts w:hint="eastAsia" w:ascii="宋体" w:hAnsi="宋体"/>
          <w:sz w:val="28"/>
          <w:szCs w:val="28"/>
          <w:highlight w:val="none"/>
          <w:lang w:val="en-US" w:eastAsia="zh-CN"/>
        </w:rPr>
        <w:t>有关劳务资质、安全生产许可证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eastAsia="宋体" w:cs="宋体"/>
          <w:b/>
          <w:bCs/>
          <w:sz w:val="28"/>
          <w:szCs w:val="28"/>
          <w:highlight w:val="none"/>
        </w:rPr>
        <w:t>财务要求</w:t>
      </w:r>
      <w:r>
        <w:rPr>
          <w:rFonts w:hint="eastAsia" w:ascii="宋体" w:hAnsi="宋体" w:eastAsia="宋体" w:cs="宋体"/>
          <w:b/>
          <w:bCs/>
          <w:sz w:val="28"/>
          <w:szCs w:val="28"/>
          <w:highlight w:val="none"/>
          <w:lang w:eastAsia="zh-CN"/>
        </w:rPr>
        <w:t>：</w:t>
      </w:r>
      <w:r>
        <w:rPr>
          <w:rFonts w:hint="eastAsia" w:ascii="宋体" w:hAnsi="宋体"/>
          <w:sz w:val="28"/>
          <w:szCs w:val="28"/>
          <w:highlight w:val="none"/>
        </w:rPr>
        <w:t>投标企业</w:t>
      </w:r>
      <w:r>
        <w:rPr>
          <w:rFonts w:ascii="宋体" w:hAnsi="宋体"/>
          <w:sz w:val="28"/>
          <w:szCs w:val="28"/>
          <w:highlight w:val="none"/>
        </w:rPr>
        <w:t>未处于被责令停业、投标资格被取消或</w:t>
      </w:r>
      <w:r>
        <w:rPr>
          <w:rFonts w:hint="eastAsia" w:ascii="宋体" w:hAnsi="宋体"/>
          <w:sz w:val="28"/>
          <w:szCs w:val="28"/>
          <w:highlight w:val="none"/>
          <w:lang w:val="en-US" w:eastAsia="zh-CN"/>
        </w:rPr>
        <w:t>财务</w:t>
      </w:r>
      <w:r>
        <w:rPr>
          <w:rFonts w:ascii="宋体" w:hAnsi="宋体"/>
          <w:sz w:val="28"/>
          <w:szCs w:val="28"/>
          <w:highlight w:val="none"/>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业绩要求</w:t>
      </w:r>
      <w:r>
        <w:rPr>
          <w:rFonts w:hint="eastAsia" w:ascii="宋体" w:hAnsi="宋体" w:eastAsia="宋体" w:cs="宋体"/>
          <w:b/>
          <w:bCs/>
          <w:sz w:val="28"/>
          <w:szCs w:val="28"/>
          <w:highlight w:val="none"/>
          <w:lang w:eastAsia="zh-CN"/>
        </w:rPr>
        <w:t>：</w:t>
      </w:r>
      <w:r>
        <w:rPr>
          <w:rFonts w:hint="eastAsia" w:ascii="宋体" w:hAnsi="宋体" w:eastAsia="宋体" w:cs="宋体"/>
          <w:sz w:val="28"/>
          <w:szCs w:val="28"/>
          <w:highlight w:val="none"/>
          <w:lang w:val="en-US" w:eastAsia="zh-CN"/>
        </w:rPr>
        <w:t xml:space="preserve">需提供总承包合同金额不小于1500万或劳务分合同金额不小于700万的地下车库类工程的施工业绩证明材料（合同、验收资料等）。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2026</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宋体" w:hAnsi="宋体" w:eastAsia="宋体" w:cs="宋体"/>
          <w:sz w:val="28"/>
          <w:szCs w:val="28"/>
          <w:lang w:val="en-US" w:eastAsia="zh-CN"/>
        </w:rPr>
        <w:t>每天上午8:00至12:00，下午14:30至17:30截止时间2026年7月16日下午15时止(北京时间，法定节假日除外)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2026 </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2026年7月15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招标组织机构信息：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56C06536">
      <w:pPr>
        <w:jc w:val="both"/>
        <w:rPr>
          <w:rFonts w:hint="eastAsia" w:ascii="华文中宋" w:hAnsi="华文中宋" w:eastAsia="华文中宋" w:cs="华文中宋"/>
          <w:b/>
          <w:bCs/>
          <w:sz w:val="36"/>
          <w:szCs w:val="36"/>
        </w:rPr>
      </w:pPr>
    </w:p>
    <w:p w14:paraId="369E9F45">
      <w:pPr>
        <w:jc w:val="center"/>
        <w:rPr>
          <w:rFonts w:hint="eastAsia" w:ascii="华文中宋" w:hAnsi="华文中宋" w:eastAsia="华文中宋" w:cs="华文中宋"/>
          <w:b/>
          <w:bCs/>
          <w:sz w:val="36"/>
          <w:szCs w:val="36"/>
        </w:rPr>
      </w:pPr>
    </w:p>
    <w:p w14:paraId="098C1D51">
      <w:pPr>
        <w:jc w:val="center"/>
        <w:rPr>
          <w:rFonts w:hint="eastAsia" w:ascii="华文中宋" w:hAnsi="华文中宋" w:eastAsia="华文中宋" w:cs="华文中宋"/>
          <w:b/>
          <w:bCs/>
          <w:sz w:val="36"/>
          <w:szCs w:val="36"/>
        </w:rPr>
      </w:pPr>
    </w:p>
    <w:p w14:paraId="17FA3CBF">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人民币壹拾伍万元整（小写：150000.00元）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壹拾伍万元整（￥：150000.00元）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w:t>
            </w:r>
            <w:r>
              <w:rPr>
                <w:rFonts w:hint="eastAsia" w:ascii="宋体" w:hAnsi="宋体" w:eastAsia="宋体" w:cs="宋体"/>
                <w:sz w:val="24"/>
                <w:szCs w:val="24"/>
                <w:lang w:val="en-US" w:eastAsia="zh-CN"/>
              </w:rPr>
              <w:t>7</w:t>
            </w:r>
            <w:r>
              <w:rPr>
                <w:rFonts w:hint="eastAsia" w:ascii="宋体" w:hAnsi="宋体" w:eastAsia="宋体" w:cs="宋体"/>
                <w:sz w:val="24"/>
                <w:szCs w:val="24"/>
              </w:rPr>
              <w:t>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90日历天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2A94CAA9">
      <w:pPr>
        <w:widowControl/>
        <w:kinsoku w:val="0"/>
        <w:autoSpaceDE w:val="0"/>
        <w:autoSpaceDN w:val="0"/>
        <w:adjustRightInd w:val="0"/>
        <w:snapToGrid w:val="0"/>
        <w:spacing w:before="12" w:line="200" w:lineRule="auto"/>
        <w:ind w:firstLine="2530" w:firstLineChars="700"/>
        <w:jc w:val="both"/>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投标单位不得擅自更换项目部主要管理人员。确需更换时，须报招标单位同意，更换后人员不得低于成交投标单位竞价时所报人员资质和技术水平，招标单位如认为有必要，可要求对上述人员中的部分人员做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，招标单位有权责令其停工整改、直至终止合同，引进新的劳务分包人。招标单位还将停止支付工程款项扣留任何未支付的工程进度款项补偿建设单位的有关损失或工期延误的损失，并就此向承包人索赔。</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w:t>
      </w:r>
      <w:r>
        <w:rPr>
          <w:rFonts w:hint="eastAsia" w:ascii="宋体" w:hAnsi="宋体" w:eastAsia="宋体" w:cs="宋体"/>
          <w:sz w:val="28"/>
          <w:szCs w:val="28"/>
          <w:lang w:val="en-US" w:eastAsia="zh-CN"/>
        </w:rPr>
        <w:t>其</w:t>
      </w:r>
      <w:r>
        <w:rPr>
          <w:rFonts w:hint="default" w:ascii="宋体" w:hAnsi="宋体" w:eastAsia="宋体" w:cs="宋体"/>
          <w:sz w:val="28"/>
          <w:szCs w:val="28"/>
          <w:lang w:val="en-US" w:eastAsia="zh-CN"/>
        </w:rPr>
        <w:t>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w:t>
      </w:r>
      <w:r>
        <w:rPr>
          <w:rFonts w:hint="eastAsia" w:ascii="宋体" w:hAnsi="宋体" w:eastAsia="宋体" w:cs="宋体"/>
          <w:sz w:val="28"/>
          <w:szCs w:val="28"/>
          <w:lang w:val="en-US" w:eastAsia="zh-CN"/>
        </w:rPr>
        <w:t>，并</w:t>
      </w:r>
      <w:r>
        <w:rPr>
          <w:rFonts w:hint="default" w:ascii="宋体" w:hAnsi="宋体" w:eastAsia="宋体" w:cs="宋体"/>
          <w:sz w:val="28"/>
          <w:szCs w:val="28"/>
          <w:lang w:val="en-US" w:eastAsia="zh-CN"/>
        </w:rPr>
        <w:t>扣留任何</w:t>
      </w:r>
      <w:r>
        <w:rPr>
          <w:rFonts w:hint="eastAsia" w:ascii="宋体" w:hAnsi="宋体" w:eastAsia="宋体" w:cs="宋体"/>
          <w:sz w:val="28"/>
          <w:szCs w:val="28"/>
          <w:lang w:val="en-US" w:eastAsia="zh-CN"/>
        </w:rPr>
        <w:t>未支</w:t>
      </w:r>
      <w:r>
        <w:rPr>
          <w:rFonts w:hint="default" w:ascii="宋体" w:hAnsi="宋体" w:eastAsia="宋体" w:cs="宋体"/>
          <w:sz w:val="28"/>
          <w:szCs w:val="28"/>
          <w:lang w:val="en-US" w:eastAsia="zh-CN"/>
        </w:rPr>
        <w:t>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w:t>
      </w:r>
      <w:r>
        <w:rPr>
          <w:rFonts w:hint="eastAsia" w:ascii="宋体" w:hAnsi="宋体" w:eastAsia="宋体" w:cs="宋体"/>
          <w:sz w:val="28"/>
          <w:szCs w:val="28"/>
          <w:lang w:val="en-US" w:eastAsia="zh-CN"/>
        </w:rPr>
        <w:t>索赔</w:t>
      </w:r>
      <w:r>
        <w:rPr>
          <w:rFonts w:hint="default" w:ascii="宋体" w:hAnsi="宋体" w:eastAsia="宋体" w:cs="宋体"/>
          <w:sz w:val="28"/>
          <w:szCs w:val="28"/>
          <w:lang w:val="en-US" w:eastAsia="zh-CN"/>
        </w:rPr>
        <w:t>。</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四、竞价方式：</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5DC51CE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五、工程进度款支付：</w:t>
      </w:r>
      <w:r>
        <w:rPr>
          <w:rFonts w:hint="eastAsia" w:ascii="宋体" w:hAnsi="宋体" w:eastAsia="宋体" w:cs="宋体"/>
          <w:b w:val="0"/>
          <w:bCs w:val="0"/>
          <w:color w:val="auto"/>
          <w:kern w:val="2"/>
          <w:sz w:val="28"/>
          <w:szCs w:val="28"/>
          <w:lang w:val="en-US" w:eastAsia="zh-CN" w:bidi="ar-SA"/>
        </w:rPr>
        <w:t>按月实际完成进度的85%支付进度款</w:t>
      </w:r>
      <w:r>
        <w:rPr>
          <w:rFonts w:hint="eastAsia" w:ascii="宋体" w:hAnsi="宋体" w:eastAsia="宋体" w:cs="宋体"/>
          <w:b/>
          <w:bCs/>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待甲方与业主结算后，甲方出具结算书后付至结算价(结算书的结算价) 97%；剩余工程款 3%作为工程质保金自验收合格之日满贰年后无质量问题一次性付清(不计息)。</w:t>
      </w:r>
    </w:p>
    <w:p w14:paraId="25D84F14">
      <w:pPr>
        <w:spacing w:line="460" w:lineRule="exact"/>
        <w:rPr>
          <w:rFonts w:ascii="宋体" w:hAnsi="宋体" w:eastAsia="宋体" w:cs="宋体"/>
          <w:sz w:val="28"/>
          <w:szCs w:val="28"/>
        </w:rPr>
      </w:pPr>
    </w:p>
    <w:p w14:paraId="58A1367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AF56A77">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56E0472">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4D0E727E">
      <w:pPr>
        <w:jc w:val="center"/>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：桐城经开区梧桐苑人才公寓项目地下车库工程劳务（含辅材）竞价文件</w:t>
      </w:r>
    </w:p>
    <w:p w14:paraId="12566E6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：JKQJT-2026020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4E9A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63BC969">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单位名称</w:t>
            </w:r>
          </w:p>
        </w:tc>
        <w:tc>
          <w:tcPr>
            <w:tcW w:w="6180" w:type="dxa"/>
          </w:tcPr>
          <w:p w14:paraId="6537BF0F">
            <w:pPr>
              <w:widowControl w:val="0"/>
              <w:numPr>
                <w:ilvl w:val="0"/>
                <w:numId w:val="0"/>
              </w:numPr>
              <w:jc w:val="both"/>
              <w:rPr>
                <w:rFonts w:hint="default" w:ascii="宋体" w:hAnsi="宋体" w:eastAsia="宋体" w:cs="宋体"/>
                <w:sz w:val="28"/>
                <w:szCs w:val="28"/>
                <w:vertAlign w:val="baseline"/>
                <w:lang w:val="en-US" w:eastAsia="zh-CN"/>
              </w:rPr>
            </w:pPr>
          </w:p>
        </w:tc>
      </w:tr>
      <w:tr w14:paraId="40A1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693" w:type="dxa"/>
          </w:tcPr>
          <w:p w14:paraId="21204892">
            <w:pPr>
              <w:widowControl w:val="0"/>
              <w:numPr>
                <w:ilvl w:val="0"/>
                <w:numId w:val="0"/>
              </w:numPr>
              <w:jc w:val="center"/>
              <w:rPr>
                <w:rFonts w:hint="eastAsia" w:ascii="宋体" w:hAnsi="宋体" w:eastAsia="宋体" w:cs="宋体"/>
                <w:sz w:val="28"/>
                <w:szCs w:val="28"/>
                <w:vertAlign w:val="baseline"/>
                <w:lang w:val="en-US" w:eastAsia="zh-CN"/>
              </w:rPr>
            </w:pPr>
          </w:p>
          <w:p w14:paraId="1AA411DC">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报价范围</w:t>
            </w:r>
          </w:p>
        </w:tc>
        <w:tc>
          <w:tcPr>
            <w:tcW w:w="6180" w:type="dxa"/>
          </w:tcPr>
          <w:p w14:paraId="5782BF15">
            <w:pPr>
              <w:widowControl w:val="0"/>
              <w:numPr>
                <w:ilvl w:val="0"/>
                <w:numId w:val="0"/>
              </w:numPr>
              <w:jc w:val="both"/>
              <w:rPr>
                <w:rFonts w:hint="eastAsia" w:ascii="宋体" w:hAnsi="宋体" w:eastAsia="宋体" w:cs="宋体"/>
                <w:sz w:val="28"/>
                <w:szCs w:val="28"/>
                <w:vertAlign w:val="baseline"/>
                <w:lang w:val="en-US" w:eastAsia="zh-CN"/>
              </w:rPr>
            </w:pPr>
          </w:p>
          <w:p w14:paraId="738CF70D">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报价按7200000元报</w:t>
            </w:r>
          </w:p>
        </w:tc>
      </w:tr>
      <w:tr w14:paraId="1AF6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693" w:type="dxa"/>
          </w:tcPr>
          <w:p w14:paraId="75D486FD">
            <w:pPr>
              <w:widowControl w:val="0"/>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w:t>
            </w:r>
          </w:p>
          <w:p w14:paraId="0909E1EB">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（详见备注说明）</w:t>
            </w:r>
          </w:p>
        </w:tc>
        <w:tc>
          <w:tcPr>
            <w:tcW w:w="6180" w:type="dxa"/>
          </w:tcPr>
          <w:p w14:paraId="06E02DEE">
            <w:pPr>
              <w:widowControl w:val="0"/>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人民币小写：                     元</w:t>
            </w:r>
          </w:p>
          <w:p w14:paraId="419698E0">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人民币大写：                     元</w:t>
            </w:r>
          </w:p>
        </w:tc>
      </w:tr>
      <w:tr w14:paraId="7642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93" w:type="dxa"/>
          </w:tcPr>
          <w:p w14:paraId="0205CD19">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工程工期</w:t>
            </w:r>
          </w:p>
        </w:tc>
        <w:tc>
          <w:tcPr>
            <w:tcW w:w="6180" w:type="dxa"/>
          </w:tcPr>
          <w:p w14:paraId="0389A111">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接开工令后    90日历天完工</w:t>
            </w:r>
          </w:p>
        </w:tc>
      </w:tr>
      <w:tr w14:paraId="2106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93" w:type="dxa"/>
          </w:tcPr>
          <w:p w14:paraId="10B5414E">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是否响应付款方式</w:t>
            </w:r>
          </w:p>
        </w:tc>
        <w:tc>
          <w:tcPr>
            <w:tcW w:w="6180" w:type="dxa"/>
          </w:tcPr>
          <w:p w14:paraId="0E47F767">
            <w:pPr>
              <w:widowControl w:val="0"/>
              <w:numPr>
                <w:ilvl w:val="0"/>
                <w:numId w:val="0"/>
              </w:numPr>
              <w:jc w:val="both"/>
              <w:rPr>
                <w:rFonts w:hint="default" w:ascii="宋体" w:hAnsi="宋体" w:eastAsia="宋体" w:cs="宋体"/>
                <w:sz w:val="28"/>
                <w:szCs w:val="28"/>
                <w:vertAlign w:val="baseline"/>
                <w:lang w:val="en-US" w:eastAsia="zh-CN"/>
              </w:rPr>
            </w:pPr>
            <w:r>
              <w:rPr>
                <w:rFonts w:hint="default"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 xml:space="preserve">是    </w:t>
            </w:r>
            <w:r>
              <w:rPr>
                <w:rFonts w:hint="eastAsia"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否</w:t>
            </w:r>
          </w:p>
        </w:tc>
      </w:tr>
      <w:tr w14:paraId="2154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693" w:type="dxa"/>
          </w:tcPr>
          <w:p w14:paraId="319FB099">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备注说明</w:t>
            </w:r>
          </w:p>
        </w:tc>
        <w:tc>
          <w:tcPr>
            <w:tcW w:w="6180" w:type="dxa"/>
          </w:tcPr>
          <w:p w14:paraId="328E9EFB">
            <w:pPr>
              <w:widowControl w:val="0"/>
              <w:numPr>
                <w:ilvl w:val="0"/>
                <w:numId w:val="0"/>
              </w:numPr>
              <w:jc w:val="both"/>
              <w:rPr>
                <w:rFonts w:hint="default" w:ascii="宋体" w:hAnsi="宋体" w:eastAsia="宋体" w:cs="宋体"/>
                <w:sz w:val="28"/>
                <w:szCs w:val="28"/>
                <w:vertAlign w:val="baseline"/>
                <w:lang w:val="en-US" w:eastAsia="zh-CN"/>
              </w:rPr>
            </w:pPr>
            <w:r>
              <w:rPr>
                <w:rFonts w:hint="default" w:ascii="宋体" w:hAnsi="宋体" w:eastAsia="宋体" w:cs="宋体"/>
                <w:sz w:val="28"/>
                <w:szCs w:val="28"/>
                <w:vertAlign w:val="baseline"/>
                <w:lang w:val="en-US" w:eastAsia="zh-CN"/>
              </w:rPr>
              <w:t>最终结算按实际完成量，按成交单位投标报价同比例增减</w:t>
            </w:r>
          </w:p>
        </w:tc>
      </w:tr>
    </w:tbl>
    <w:p w14:paraId="5C2FF51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签章</w:t>
      </w:r>
      <w:r>
        <w:rPr>
          <w:rFonts w:hint="eastAsia" w:ascii="宋体" w:hAnsi="宋体" w:eastAsia="宋体" w:cs="宋体"/>
          <w:sz w:val="28"/>
          <w:szCs w:val="28"/>
          <w:lang w:val="en-US" w:eastAsia="zh-CN"/>
        </w:rPr>
        <w:t>：                 日</w:t>
      </w:r>
      <w:r>
        <w:rPr>
          <w:rFonts w:hint="eastAsia" w:ascii="宋体" w:hAnsi="宋体" w:eastAsia="宋体" w:cs="宋体"/>
          <w:sz w:val="30"/>
          <w:szCs w:val="30"/>
          <w:lang w:val="en-US" w:eastAsia="zh-CN"/>
        </w:rPr>
        <w:t>期：</w:t>
      </w:r>
    </w:p>
    <w:p w14:paraId="35487A94">
      <w:pPr>
        <w:widowControl w:val="0"/>
        <w:numPr>
          <w:ilvl w:val="0"/>
          <w:numId w:val="0"/>
        </w:num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1.本表内容包括了</w:t>
      </w:r>
      <w:r>
        <w:rPr>
          <w:rFonts w:hint="eastAsia" w:ascii="宋体" w:hAnsi="宋体" w:eastAsia="宋体" w:cs="宋体"/>
          <w:sz w:val="24"/>
          <w:szCs w:val="24"/>
          <w:lang w:val="en-US" w:eastAsia="zh-CN"/>
        </w:rPr>
        <w:t>竞</w:t>
      </w:r>
      <w:r>
        <w:rPr>
          <w:rFonts w:hint="default" w:ascii="宋体" w:hAnsi="宋体" w:eastAsia="宋体" w:cs="宋体"/>
          <w:sz w:val="24"/>
          <w:szCs w:val="24"/>
          <w:lang w:val="en-US" w:eastAsia="zh-CN"/>
        </w:rPr>
        <w:t>价文件要求提供的全部内容的所有费用。</w:t>
      </w:r>
    </w:p>
    <w:p w14:paraId="663F190C">
      <w:pPr>
        <w:widowControl w:val="0"/>
        <w:numPr>
          <w:ilvl w:val="0"/>
          <w:numId w:val="0"/>
        </w:num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2.特殊事项在备注中注明3.报价表中大写金额与小写金额不一致的，以大写金额为准。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6853EA30">
      <w:pPr>
        <w:widowControl w:val="0"/>
        <w:numPr>
          <w:ilvl w:val="0"/>
          <w:numId w:val="0"/>
        </w:numPr>
        <w:jc w:val="center"/>
        <w:rPr>
          <w:rFonts w:hint="eastAsia" w:ascii="宋体" w:hAnsi="宋体" w:eastAsia="宋体" w:cs="宋体"/>
          <w:b/>
          <w:bCs/>
          <w:sz w:val="30"/>
          <w:szCs w:val="30"/>
          <w:lang w:val="en-US" w:eastAsia="zh-CN"/>
        </w:rPr>
      </w:pPr>
    </w:p>
    <w:p w14:paraId="359694A3">
      <w:pPr>
        <w:widowControl w:val="0"/>
        <w:numPr>
          <w:ilvl w:val="0"/>
          <w:numId w:val="0"/>
        </w:numPr>
        <w:jc w:val="center"/>
        <w:rPr>
          <w:rFonts w:hint="eastAsia" w:ascii="宋体" w:hAnsi="宋体" w:eastAsia="宋体" w:cs="宋体"/>
          <w:b/>
          <w:bCs/>
          <w:sz w:val="30"/>
          <w:szCs w:val="30"/>
          <w:lang w:val="en-US" w:eastAsia="zh-CN"/>
        </w:rPr>
      </w:pPr>
    </w:p>
    <w:p w14:paraId="55E7232C">
      <w:pPr>
        <w:widowControl w:val="0"/>
        <w:numPr>
          <w:ilvl w:val="0"/>
          <w:numId w:val="0"/>
        </w:numPr>
        <w:jc w:val="center"/>
        <w:rPr>
          <w:rFonts w:hint="eastAsia"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二</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0BCEC2A1">
      <w:pPr>
        <w:widowControl w:val="0"/>
        <w:numPr>
          <w:ilvl w:val="0"/>
          <w:numId w:val="0"/>
        </w:numPr>
        <w:jc w:val="center"/>
        <w:rPr>
          <w:rFonts w:hint="eastAsia" w:ascii="宋体" w:hAnsi="宋体" w:eastAsia="宋体" w:cs="宋体"/>
          <w:sz w:val="30"/>
          <w:szCs w:val="30"/>
          <w:lang w:val="en-US" w:eastAsia="zh-CN"/>
        </w:rPr>
      </w:pPr>
    </w:p>
    <w:p w14:paraId="42287AA2">
      <w:pPr>
        <w:widowControl w:val="0"/>
        <w:numPr>
          <w:ilvl w:val="0"/>
          <w:numId w:val="0"/>
        </w:numPr>
        <w:jc w:val="center"/>
        <w:rPr>
          <w:rFonts w:hint="eastAsia" w:ascii="宋体" w:hAnsi="宋体" w:eastAsia="宋体" w:cs="宋体"/>
          <w:sz w:val="30"/>
          <w:szCs w:val="30"/>
          <w:lang w:val="en-US" w:eastAsia="zh-CN"/>
        </w:rPr>
      </w:pPr>
    </w:p>
    <w:p w14:paraId="51D0431B">
      <w:pPr>
        <w:widowControl w:val="0"/>
        <w:numPr>
          <w:ilvl w:val="0"/>
          <w:numId w:val="0"/>
        </w:numPr>
        <w:jc w:val="center"/>
        <w:rPr>
          <w:rFonts w:hint="default" w:ascii="宋体" w:hAnsi="宋体" w:eastAsia="宋体" w:cs="宋体"/>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三</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提交竞价响应文件、参与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1"/>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17767625">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四</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五、</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1F7F7E"/>
    <w:rsid w:val="00B04A41"/>
    <w:rsid w:val="0194674A"/>
    <w:rsid w:val="01A7022B"/>
    <w:rsid w:val="01B644D5"/>
    <w:rsid w:val="01BD06D2"/>
    <w:rsid w:val="02822525"/>
    <w:rsid w:val="0337736F"/>
    <w:rsid w:val="03537ABF"/>
    <w:rsid w:val="042342E1"/>
    <w:rsid w:val="04B62664"/>
    <w:rsid w:val="056D7096"/>
    <w:rsid w:val="05B705D9"/>
    <w:rsid w:val="060A245A"/>
    <w:rsid w:val="09577FA0"/>
    <w:rsid w:val="095B02AF"/>
    <w:rsid w:val="0A1246B0"/>
    <w:rsid w:val="0A2F2E21"/>
    <w:rsid w:val="0A5807C0"/>
    <w:rsid w:val="0B7A52A2"/>
    <w:rsid w:val="0CCA0102"/>
    <w:rsid w:val="0CDB3EF6"/>
    <w:rsid w:val="0D0167C6"/>
    <w:rsid w:val="0D3861DB"/>
    <w:rsid w:val="0F731801"/>
    <w:rsid w:val="0FB74EF3"/>
    <w:rsid w:val="10186C4F"/>
    <w:rsid w:val="104024BB"/>
    <w:rsid w:val="105F3110"/>
    <w:rsid w:val="10A51DDA"/>
    <w:rsid w:val="1209283C"/>
    <w:rsid w:val="127F67AC"/>
    <w:rsid w:val="129C1F61"/>
    <w:rsid w:val="12A65AFE"/>
    <w:rsid w:val="134F6988"/>
    <w:rsid w:val="137F4B64"/>
    <w:rsid w:val="13FF5F07"/>
    <w:rsid w:val="14845DCD"/>
    <w:rsid w:val="14885C9A"/>
    <w:rsid w:val="14AA6255"/>
    <w:rsid w:val="15B624DF"/>
    <w:rsid w:val="16211A85"/>
    <w:rsid w:val="165F53AB"/>
    <w:rsid w:val="16BE4777"/>
    <w:rsid w:val="17675040"/>
    <w:rsid w:val="17E37F22"/>
    <w:rsid w:val="18376EC9"/>
    <w:rsid w:val="186E44B6"/>
    <w:rsid w:val="19053D24"/>
    <w:rsid w:val="1A393593"/>
    <w:rsid w:val="1A995764"/>
    <w:rsid w:val="1AB269A6"/>
    <w:rsid w:val="1B430B6D"/>
    <w:rsid w:val="1BC75EFD"/>
    <w:rsid w:val="1BCC7AE1"/>
    <w:rsid w:val="1BFB1448"/>
    <w:rsid w:val="1C076183"/>
    <w:rsid w:val="1C40575F"/>
    <w:rsid w:val="1D6E2503"/>
    <w:rsid w:val="1ECA214D"/>
    <w:rsid w:val="20FD610A"/>
    <w:rsid w:val="229230BA"/>
    <w:rsid w:val="22DD2DF3"/>
    <w:rsid w:val="2487000D"/>
    <w:rsid w:val="25377290"/>
    <w:rsid w:val="25880008"/>
    <w:rsid w:val="25D80C2C"/>
    <w:rsid w:val="25F27417"/>
    <w:rsid w:val="26121430"/>
    <w:rsid w:val="268B33C8"/>
    <w:rsid w:val="270C677F"/>
    <w:rsid w:val="27BA5D13"/>
    <w:rsid w:val="28170477"/>
    <w:rsid w:val="28601C2F"/>
    <w:rsid w:val="29555CCF"/>
    <w:rsid w:val="2A05326D"/>
    <w:rsid w:val="2B3C1ED6"/>
    <w:rsid w:val="2BE76FB0"/>
    <w:rsid w:val="2C4350AD"/>
    <w:rsid w:val="2C5524AE"/>
    <w:rsid w:val="2D2B2FA9"/>
    <w:rsid w:val="2DD815E9"/>
    <w:rsid w:val="2F5F53F2"/>
    <w:rsid w:val="30161C2E"/>
    <w:rsid w:val="30E32710"/>
    <w:rsid w:val="3103301B"/>
    <w:rsid w:val="32A96B00"/>
    <w:rsid w:val="335F2950"/>
    <w:rsid w:val="33927DE1"/>
    <w:rsid w:val="348B70ED"/>
    <w:rsid w:val="36AD73AD"/>
    <w:rsid w:val="371440B3"/>
    <w:rsid w:val="38E9172E"/>
    <w:rsid w:val="38EA21D0"/>
    <w:rsid w:val="39644B48"/>
    <w:rsid w:val="39B2152A"/>
    <w:rsid w:val="39DA3FF3"/>
    <w:rsid w:val="3A655FB2"/>
    <w:rsid w:val="3B864FF3"/>
    <w:rsid w:val="3BB93DF3"/>
    <w:rsid w:val="3C0A2099"/>
    <w:rsid w:val="3C320116"/>
    <w:rsid w:val="3E065C55"/>
    <w:rsid w:val="3F023A96"/>
    <w:rsid w:val="3F302319"/>
    <w:rsid w:val="3F406FEE"/>
    <w:rsid w:val="3F887340"/>
    <w:rsid w:val="3FE34E66"/>
    <w:rsid w:val="404834B5"/>
    <w:rsid w:val="41405083"/>
    <w:rsid w:val="426076F1"/>
    <w:rsid w:val="430770A0"/>
    <w:rsid w:val="44006D4C"/>
    <w:rsid w:val="44252DDD"/>
    <w:rsid w:val="44274CFA"/>
    <w:rsid w:val="44372BC1"/>
    <w:rsid w:val="4488746D"/>
    <w:rsid w:val="455F39AC"/>
    <w:rsid w:val="465F5514"/>
    <w:rsid w:val="46A936CA"/>
    <w:rsid w:val="471825FE"/>
    <w:rsid w:val="47852E03"/>
    <w:rsid w:val="47C87B80"/>
    <w:rsid w:val="47FC5481"/>
    <w:rsid w:val="48855A71"/>
    <w:rsid w:val="48A26623"/>
    <w:rsid w:val="4AC570CF"/>
    <w:rsid w:val="4AE43BFC"/>
    <w:rsid w:val="4C7A6630"/>
    <w:rsid w:val="4CEA0599"/>
    <w:rsid w:val="4E5C1857"/>
    <w:rsid w:val="4EB03512"/>
    <w:rsid w:val="4F963767"/>
    <w:rsid w:val="4FB229CD"/>
    <w:rsid w:val="503E6C32"/>
    <w:rsid w:val="512D6CA6"/>
    <w:rsid w:val="51383FC9"/>
    <w:rsid w:val="51F55A16"/>
    <w:rsid w:val="5239071A"/>
    <w:rsid w:val="53F972E1"/>
    <w:rsid w:val="548412CC"/>
    <w:rsid w:val="54B62810"/>
    <w:rsid w:val="553305D6"/>
    <w:rsid w:val="55654D48"/>
    <w:rsid w:val="56312D95"/>
    <w:rsid w:val="567809C3"/>
    <w:rsid w:val="56F52014"/>
    <w:rsid w:val="57F95B34"/>
    <w:rsid w:val="58C12AF6"/>
    <w:rsid w:val="58E6255C"/>
    <w:rsid w:val="59215342"/>
    <w:rsid w:val="5A7C7A58"/>
    <w:rsid w:val="5AA257E0"/>
    <w:rsid w:val="5B867A73"/>
    <w:rsid w:val="5BB364E3"/>
    <w:rsid w:val="5D564AEF"/>
    <w:rsid w:val="5D710D9F"/>
    <w:rsid w:val="5E645B8F"/>
    <w:rsid w:val="5EF835E3"/>
    <w:rsid w:val="5F056332"/>
    <w:rsid w:val="5F225970"/>
    <w:rsid w:val="5F81605E"/>
    <w:rsid w:val="5F8D66C9"/>
    <w:rsid w:val="5FBC0B30"/>
    <w:rsid w:val="5FC53FCD"/>
    <w:rsid w:val="5FED6DBE"/>
    <w:rsid w:val="61135EB8"/>
    <w:rsid w:val="62856942"/>
    <w:rsid w:val="62966DA1"/>
    <w:rsid w:val="636479F5"/>
    <w:rsid w:val="6570115F"/>
    <w:rsid w:val="65705687"/>
    <w:rsid w:val="65D242A6"/>
    <w:rsid w:val="67032FD8"/>
    <w:rsid w:val="67C27CF0"/>
    <w:rsid w:val="67FA4F92"/>
    <w:rsid w:val="685017A0"/>
    <w:rsid w:val="69B07143"/>
    <w:rsid w:val="69B56F7A"/>
    <w:rsid w:val="69DE3F86"/>
    <w:rsid w:val="6A352201"/>
    <w:rsid w:val="6AEE6320"/>
    <w:rsid w:val="6B7F7BA4"/>
    <w:rsid w:val="6BF552B9"/>
    <w:rsid w:val="6C5B07F9"/>
    <w:rsid w:val="6C983ED6"/>
    <w:rsid w:val="6CA0462C"/>
    <w:rsid w:val="6CCA7D73"/>
    <w:rsid w:val="6CE32BE3"/>
    <w:rsid w:val="6DB1683D"/>
    <w:rsid w:val="6E566E9A"/>
    <w:rsid w:val="6E56712B"/>
    <w:rsid w:val="6E7E550C"/>
    <w:rsid w:val="6EAE1A49"/>
    <w:rsid w:val="6ECD7F1A"/>
    <w:rsid w:val="6EEE2843"/>
    <w:rsid w:val="70020481"/>
    <w:rsid w:val="71235CA4"/>
    <w:rsid w:val="716B1344"/>
    <w:rsid w:val="717538D7"/>
    <w:rsid w:val="71850AD4"/>
    <w:rsid w:val="729C3ECF"/>
    <w:rsid w:val="72B312A9"/>
    <w:rsid w:val="73614861"/>
    <w:rsid w:val="74252DEB"/>
    <w:rsid w:val="76652152"/>
    <w:rsid w:val="768C74E9"/>
    <w:rsid w:val="78273E1F"/>
    <w:rsid w:val="78A51694"/>
    <w:rsid w:val="7AEF6BF7"/>
    <w:rsid w:val="7B7B66DC"/>
    <w:rsid w:val="7C293E7A"/>
    <w:rsid w:val="7C725D31"/>
    <w:rsid w:val="7D23702C"/>
    <w:rsid w:val="7E6A51FB"/>
    <w:rsid w:val="7E9C6834"/>
    <w:rsid w:val="7EC42148"/>
    <w:rsid w:val="7ED203B5"/>
    <w:rsid w:val="7F22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1536</Words>
  <Characters>1696</Characters>
  <Lines>0</Lines>
  <Paragraphs>0</Paragraphs>
  <TotalTime>63</TotalTime>
  <ScaleCrop>false</ScaleCrop>
  <LinksUpToDate>false</LinksUpToDate>
  <CharactersWithSpaces>1718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2026-03-26T02:59:00Z</cp:lastPrinted>
  <dcterms:modified xsi:type="dcterms:W3CDTF">2026-07-10T10:00:30Z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ADE6DFE74EED4C6FAD31B744BACF1C0A_13</vt:lpwstr>
  </property>
  <property fmtid="{D5CDD505-2E9C-101B-9397-08002B2CF9AE}" pid="4" name="KSOTemplateDocerSaveRecord">
    <vt:lpwstr>eyJoZGlkIjoiYTYzYjAxODgyOGNjZmE0YWI1NjQzODgzMjRhMTgzOTQiLCJ1c2VySWQiOiIxMDU5OTExMzI2In0=</vt:lpwstr>
  </property>
</Properties>
</file>